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B9A6" w14:textId="77777777" w:rsidR="00FD3948" w:rsidRPr="00A90444" w:rsidRDefault="00A90444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444">
        <w:rPr>
          <w:rFonts w:ascii="Times New Roman" w:hAnsi="Times New Roman" w:cs="Times New Roman"/>
          <w:sz w:val="24"/>
          <w:szCs w:val="24"/>
        </w:rPr>
        <w:t>BLUE PRINT ARTIKEL ILMIAH</w:t>
      </w:r>
    </w:p>
    <w:p w14:paraId="05CA0A7F" w14:textId="77777777" w:rsidR="00FD3948" w:rsidRPr="00A90444" w:rsidRDefault="00A904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044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330160E9" w14:textId="77777777" w:rsidR="00FD3948" w:rsidRPr="00A90444" w:rsidRDefault="00A90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Allen &amp; Meyer, (1990)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>.</w:t>
      </w:r>
    </w:p>
    <w:p w14:paraId="56EF9C04" w14:textId="77777777" w:rsidR="00FD3948" w:rsidRPr="00A90444" w:rsidRDefault="00A904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: Allen, Nathalie, J, &amp; Meyer, </w:t>
      </w:r>
      <w:r w:rsidRPr="00A90444">
        <w:rPr>
          <w:rFonts w:ascii="Times New Roman" w:hAnsi="Times New Roman" w:cs="Times New Roman"/>
          <w:sz w:val="24"/>
          <w:szCs w:val="24"/>
        </w:rPr>
        <w:t xml:space="preserve">John, P. (1990). A three-Component Conceptualization of Organizational Commitment. </w:t>
      </w:r>
      <w:r w:rsidRPr="00A90444">
        <w:rPr>
          <w:rFonts w:ascii="Times New Roman" w:hAnsi="Times New Roman" w:cs="Times New Roman"/>
          <w:i/>
          <w:iCs/>
          <w:sz w:val="24"/>
          <w:szCs w:val="24"/>
        </w:rPr>
        <w:t>Journal of Occupational Psychology, 63, 1-18</w:t>
      </w:r>
      <w:r w:rsidRPr="00A90444">
        <w:rPr>
          <w:rFonts w:ascii="Times New Roman" w:hAnsi="Times New Roman" w:cs="Times New Roman"/>
          <w:sz w:val="24"/>
          <w:szCs w:val="24"/>
        </w:rPr>
        <w:t>.</w:t>
      </w:r>
    </w:p>
    <w:p w14:paraId="41412955" w14:textId="77777777" w:rsidR="00FD3948" w:rsidRPr="00A90444" w:rsidRDefault="00FD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B8096" w14:textId="77777777" w:rsidR="00FD3948" w:rsidRPr="00A90444" w:rsidRDefault="00A90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44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Allen &amp; Meyer</w:t>
      </w:r>
    </w:p>
    <w:p w14:paraId="2EE0EB1C" w14:textId="77777777" w:rsidR="00FD3948" w:rsidRPr="00A90444" w:rsidRDefault="00A90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Allen &amp; Meyer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r w:rsidRPr="00A9044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r w:rsidRPr="00A90444">
        <w:rPr>
          <w:rFonts w:ascii="Times New Roman" w:hAnsi="Times New Roman" w:cs="Times New Roman"/>
          <w:i/>
          <w:iCs/>
          <w:sz w:val="24"/>
          <w:szCs w:val="24"/>
        </w:rPr>
        <w:t xml:space="preserve">Affective commitments, Continuance commitment, </w:t>
      </w:r>
      <w:r w:rsidRPr="00A90444">
        <w:rPr>
          <w:rFonts w:ascii="Times New Roman" w:hAnsi="Times New Roman" w:cs="Times New Roman"/>
          <w:sz w:val="24"/>
          <w:szCs w:val="24"/>
        </w:rPr>
        <w:t xml:space="preserve">dan </w:t>
      </w:r>
      <w:r w:rsidRPr="00A90444">
        <w:rPr>
          <w:rFonts w:ascii="Times New Roman" w:hAnsi="Times New Roman" w:cs="Times New Roman"/>
          <w:i/>
          <w:iCs/>
          <w:sz w:val="24"/>
          <w:szCs w:val="24"/>
        </w:rPr>
        <w:t>Normative commitments</w:t>
      </w:r>
      <w:r w:rsidRPr="00A9044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r w:rsidRPr="00A90444">
        <w:rPr>
          <w:rFonts w:ascii="Times New Roman" w:hAnsi="Times New Roman" w:cs="Times New Roman"/>
          <w:i/>
          <w:iCs/>
          <w:sz w:val="24"/>
          <w:szCs w:val="24"/>
        </w:rPr>
        <w:t>Affective commitments</w:t>
      </w:r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44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nyaman</w:t>
      </w:r>
      <w:proofErr w:type="spellEnd"/>
      <w:proofErr w:type="gram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keter</w:t>
      </w:r>
      <w:r w:rsidRPr="00A90444">
        <w:rPr>
          <w:rFonts w:ascii="Times New Roman" w:hAnsi="Times New Roman" w:cs="Times New Roman"/>
          <w:sz w:val="24"/>
          <w:szCs w:val="24"/>
        </w:rPr>
        <w:t>tikatan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90444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 </w:t>
      </w:r>
      <w:r w:rsidRPr="00A90444">
        <w:rPr>
          <w:rFonts w:ascii="Times New Roman" w:hAnsi="Times New Roman" w:cs="Times New Roman"/>
          <w:i/>
          <w:iCs/>
          <w:sz w:val="24"/>
          <w:szCs w:val="24"/>
        </w:rPr>
        <w:t>Continuance</w:t>
      </w:r>
      <w:proofErr w:type="gramEnd"/>
      <w:r w:rsidRPr="00A90444">
        <w:rPr>
          <w:rFonts w:ascii="Times New Roman" w:hAnsi="Times New Roman" w:cs="Times New Roman"/>
          <w:i/>
          <w:iCs/>
          <w:sz w:val="24"/>
          <w:szCs w:val="24"/>
        </w:rPr>
        <w:t xml:space="preserve"> commitment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pada 2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meng</w:t>
      </w:r>
      <w:r w:rsidRPr="00A90444">
        <w:rPr>
          <w:rFonts w:ascii="Times New Roman" w:hAnsi="Times New Roman" w:cs="Times New Roman"/>
          <w:sz w:val="24"/>
          <w:szCs w:val="24"/>
        </w:rPr>
        <w:t>erahkan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kurangny</w:t>
      </w:r>
      <w:r w:rsidRPr="00A9044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r w:rsidRPr="00A90444">
        <w:rPr>
          <w:rFonts w:ascii="Times New Roman" w:hAnsi="Times New Roman" w:cs="Times New Roman"/>
          <w:i/>
          <w:iCs/>
          <w:sz w:val="24"/>
          <w:szCs w:val="24"/>
        </w:rPr>
        <w:t>Normative commitments</w:t>
      </w:r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44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cerminan</w:t>
      </w:r>
      <w:proofErr w:type="spellEnd"/>
      <w:proofErr w:type="gram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44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>.</w:t>
      </w:r>
    </w:p>
    <w:p w14:paraId="05A86B51" w14:textId="77777777" w:rsidR="00FD3948" w:rsidRPr="00A90444" w:rsidRDefault="00A90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44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904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0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9A33F" w14:textId="77777777" w:rsidR="00FD3948" w:rsidRPr="00A90444" w:rsidRDefault="00A904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444">
        <w:rPr>
          <w:rFonts w:ascii="Times New Roman" w:hAnsi="Times New Roman" w:cs="Times New Roman"/>
          <w:sz w:val="24"/>
          <w:szCs w:val="24"/>
        </w:rPr>
        <w:t>Allen, Nathalie, J, &amp; Meyer, John, P. (1990</w:t>
      </w:r>
      <w:r w:rsidRPr="00A90444">
        <w:rPr>
          <w:rFonts w:ascii="Times New Roman" w:hAnsi="Times New Roman" w:cs="Times New Roman"/>
          <w:sz w:val="24"/>
          <w:szCs w:val="24"/>
        </w:rPr>
        <w:t xml:space="preserve">). A three-Component Conceptualization of Organizational Commitment. </w:t>
      </w:r>
      <w:r w:rsidRPr="00A90444">
        <w:rPr>
          <w:rFonts w:ascii="Times New Roman" w:hAnsi="Times New Roman" w:cs="Times New Roman"/>
          <w:i/>
          <w:iCs/>
          <w:sz w:val="24"/>
          <w:szCs w:val="24"/>
        </w:rPr>
        <w:t>Journal of Occupational Psychology, 63, 1-18</w:t>
      </w:r>
      <w:r w:rsidRPr="00A90444">
        <w:rPr>
          <w:rFonts w:ascii="Times New Roman" w:hAnsi="Times New Roman" w:cs="Times New Roman"/>
          <w:sz w:val="24"/>
          <w:szCs w:val="24"/>
        </w:rPr>
        <w:t>.</w:t>
      </w:r>
    </w:p>
    <w:p w14:paraId="3D6870CB" w14:textId="77777777" w:rsidR="00FD3948" w:rsidRPr="00A90444" w:rsidRDefault="00FD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BEB78" w14:textId="77777777" w:rsidR="00FD3948" w:rsidRPr="00A90444" w:rsidRDefault="00A904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D3948" w:rsidRPr="00A904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90444">
        <w:rPr>
          <w:rFonts w:ascii="Times New Roman" w:hAnsi="Times New Roman" w:cs="Times New Roman"/>
          <w:sz w:val="24"/>
          <w:szCs w:val="24"/>
        </w:rPr>
        <w:t>Allen, Nathalie, J, &amp; Meyer, John, P. (1993). Commitment to Organizations and Occupation: Extension and Test of a Three Component Concept</w:t>
      </w:r>
      <w:r w:rsidRPr="00A90444">
        <w:rPr>
          <w:rFonts w:ascii="Times New Roman" w:hAnsi="Times New Roman" w:cs="Times New Roman"/>
          <w:sz w:val="24"/>
          <w:szCs w:val="24"/>
        </w:rPr>
        <w:t xml:space="preserve">ualization. </w:t>
      </w:r>
      <w:r w:rsidRPr="00A90444">
        <w:rPr>
          <w:rFonts w:ascii="Times New Roman" w:hAnsi="Times New Roman" w:cs="Times New Roman"/>
          <w:i/>
          <w:iCs/>
          <w:sz w:val="24"/>
          <w:szCs w:val="24"/>
        </w:rPr>
        <w:t>Journal of Applied Psychology Vol 78, No. 4, 53</w:t>
      </w:r>
      <w:r w:rsidRPr="00A904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8-551</w:t>
      </w:r>
      <w:r w:rsidRPr="00A904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904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90444">
        <w:rPr>
          <w:rFonts w:ascii="Times New Roman" w:hAnsi="Times New Roman" w:cs="Times New Roman"/>
          <w:color w:val="000000"/>
          <w:sz w:val="24"/>
          <w:szCs w:val="24"/>
        </w:rPr>
        <w:t xml:space="preserve">DOI: 10.1037/0021-9010.78.4.538 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2695"/>
        <w:gridCol w:w="2880"/>
        <w:gridCol w:w="4050"/>
        <w:gridCol w:w="3870"/>
      </w:tblGrid>
      <w:tr w:rsidR="00FD3948" w:rsidRPr="00A90444" w14:paraId="72859557" w14:textId="77777777">
        <w:tc>
          <w:tcPr>
            <w:tcW w:w="2695" w:type="dxa"/>
            <w:vMerge w:val="restart"/>
            <w:vAlign w:val="center"/>
          </w:tcPr>
          <w:p w14:paraId="46453E9F" w14:textId="77777777" w:rsidR="00FD3948" w:rsidRPr="00A90444" w:rsidRDefault="00A90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Dimensi</w:t>
            </w:r>
            <w:proofErr w:type="spellEnd"/>
          </w:p>
        </w:tc>
        <w:tc>
          <w:tcPr>
            <w:tcW w:w="2880" w:type="dxa"/>
            <w:vMerge w:val="restart"/>
            <w:vAlign w:val="center"/>
          </w:tcPr>
          <w:p w14:paraId="69804668" w14:textId="77777777" w:rsidR="00FD3948" w:rsidRPr="00A90444" w:rsidRDefault="00A90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7920" w:type="dxa"/>
            <w:gridSpan w:val="2"/>
            <w:vAlign w:val="center"/>
          </w:tcPr>
          <w:p w14:paraId="7919EC27" w14:textId="77777777" w:rsidR="00FD3948" w:rsidRPr="00A90444" w:rsidRDefault="00A90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</w:tr>
      <w:tr w:rsidR="00FD3948" w:rsidRPr="00A90444" w14:paraId="240BCAF1" w14:textId="77777777">
        <w:tc>
          <w:tcPr>
            <w:tcW w:w="2695" w:type="dxa"/>
            <w:vMerge/>
            <w:vAlign w:val="center"/>
          </w:tcPr>
          <w:p w14:paraId="09BF3082" w14:textId="77777777" w:rsidR="00FD3948" w:rsidRPr="00A90444" w:rsidRDefault="00FD39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06B48F1F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57E34BF6" w14:textId="77777777" w:rsidR="00FD3948" w:rsidRPr="00A90444" w:rsidRDefault="00A90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Favorable</w:t>
            </w:r>
          </w:p>
        </w:tc>
        <w:tc>
          <w:tcPr>
            <w:tcW w:w="3870" w:type="dxa"/>
            <w:vAlign w:val="center"/>
          </w:tcPr>
          <w:p w14:paraId="45E602F2" w14:textId="77777777" w:rsidR="00FD3948" w:rsidRPr="00A90444" w:rsidRDefault="00A904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Unfavorable</w:t>
            </w:r>
          </w:p>
        </w:tc>
      </w:tr>
      <w:tr w:rsidR="00FD3948" w:rsidRPr="00A90444" w14:paraId="15337169" w14:textId="77777777">
        <w:tc>
          <w:tcPr>
            <w:tcW w:w="2695" w:type="dxa"/>
            <w:vMerge w:val="restart"/>
          </w:tcPr>
          <w:p w14:paraId="73754EE6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Affective commitments</w:t>
            </w:r>
          </w:p>
        </w:tc>
        <w:tc>
          <w:tcPr>
            <w:tcW w:w="2880" w:type="dxa"/>
            <w:vMerge w:val="restart"/>
          </w:tcPr>
          <w:p w14:paraId="7660B51A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bertahan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050" w:type="dxa"/>
          </w:tcPr>
          <w:p w14:paraId="7710A7D8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5503FDFB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  <w:tr w:rsidR="00FD3948" w:rsidRPr="00A90444" w14:paraId="0D774EBF" w14:textId="77777777">
        <w:tc>
          <w:tcPr>
            <w:tcW w:w="2695" w:type="dxa"/>
            <w:vMerge/>
          </w:tcPr>
          <w:p w14:paraId="719279D8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1B595639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D4D7AD5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306E2B13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  <w:tr w:rsidR="00FD3948" w:rsidRPr="00A90444" w14:paraId="7203B5A5" w14:textId="77777777">
        <w:tc>
          <w:tcPr>
            <w:tcW w:w="2695" w:type="dxa"/>
            <w:vMerge/>
          </w:tcPr>
          <w:p w14:paraId="3514BCDF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14:paraId="779E756D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050" w:type="dxa"/>
          </w:tcPr>
          <w:p w14:paraId="150BBC34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7E3FD60D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gelisah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  <w:tr w:rsidR="00FD3948" w:rsidRPr="00A90444" w14:paraId="70834275" w14:textId="77777777">
        <w:tc>
          <w:tcPr>
            <w:tcW w:w="2695" w:type="dxa"/>
            <w:vMerge/>
          </w:tcPr>
          <w:p w14:paraId="135C5DC6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59863EE2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E2748A9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berkompeten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141B25BB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berkompeten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Yayasan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  <w:tr w:rsidR="00FD3948" w:rsidRPr="00A90444" w14:paraId="101CD326" w14:textId="77777777">
        <w:tc>
          <w:tcPr>
            <w:tcW w:w="2695" w:type="dxa"/>
            <w:vMerge/>
          </w:tcPr>
          <w:p w14:paraId="7699864D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14:paraId="7AC2254A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emiliki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050" w:type="dxa"/>
          </w:tcPr>
          <w:p w14:paraId="051D88B0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591184B4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  <w:tr w:rsidR="00FD3948" w:rsidRPr="00A90444" w14:paraId="46ED48C0" w14:textId="77777777">
        <w:tc>
          <w:tcPr>
            <w:tcW w:w="2695" w:type="dxa"/>
            <w:vMerge/>
          </w:tcPr>
          <w:p w14:paraId="3CDCFF8B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05444DD1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86A07FE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3870" w:type="dxa"/>
          </w:tcPr>
          <w:p w14:paraId="06C1768A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</w:p>
        </w:tc>
      </w:tr>
      <w:tr w:rsidR="00FD3948" w:rsidRPr="00A90444" w14:paraId="1A7A4B04" w14:textId="77777777">
        <w:tc>
          <w:tcPr>
            <w:tcW w:w="2695" w:type="dxa"/>
            <w:vMerge w:val="restart"/>
          </w:tcPr>
          <w:p w14:paraId="180CC592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Continuance commitment</w:t>
            </w:r>
          </w:p>
        </w:tc>
        <w:tc>
          <w:tcPr>
            <w:tcW w:w="2880" w:type="dxa"/>
            <w:vMerge w:val="restart"/>
          </w:tcPr>
          <w:p w14:paraId="3D042105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Nilai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besarnya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050" w:type="dxa"/>
          </w:tcPr>
          <w:p w14:paraId="62739262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meninggalkan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06C3A414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gembira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ninggalkan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  <w:tr w:rsidR="00FD3948" w:rsidRPr="00A90444" w14:paraId="1E6EC071" w14:textId="77777777">
        <w:tc>
          <w:tcPr>
            <w:tcW w:w="2695" w:type="dxa"/>
            <w:vMerge/>
          </w:tcPr>
          <w:p w14:paraId="609C9152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717FF1D2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46CE8DE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meninggalkan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712E75EC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meninggalkan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  <w:tr w:rsidR="00FD3948" w:rsidRPr="00A90444" w14:paraId="52443A45" w14:textId="77777777">
        <w:tc>
          <w:tcPr>
            <w:tcW w:w="2695" w:type="dxa"/>
            <w:vMerge/>
          </w:tcPr>
          <w:p w14:paraId="19D9837F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14:paraId="48966DD0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lain</w:t>
            </w:r>
          </w:p>
        </w:tc>
        <w:tc>
          <w:tcPr>
            <w:tcW w:w="4050" w:type="dxa"/>
          </w:tcPr>
          <w:p w14:paraId="4DFF93C3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60D47974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  <w:tr w:rsidR="00FD3948" w:rsidRPr="00A90444" w14:paraId="319809DA" w14:textId="77777777">
        <w:tc>
          <w:tcPr>
            <w:tcW w:w="2695" w:type="dxa"/>
            <w:vMerge/>
          </w:tcPr>
          <w:p w14:paraId="1E7C4ED2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21E89B64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39E21A5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tawaran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147D9A60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tawaran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  <w:tr w:rsidR="00FD3948" w:rsidRPr="00A90444" w14:paraId="1C670288" w14:textId="77777777">
        <w:tc>
          <w:tcPr>
            <w:tcW w:w="2695" w:type="dxa"/>
            <w:vMerge w:val="restart"/>
          </w:tcPr>
          <w:p w14:paraId="30BEB3C8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Normative commitments</w:t>
            </w:r>
          </w:p>
        </w:tc>
        <w:tc>
          <w:tcPr>
            <w:tcW w:w="2880" w:type="dxa"/>
            <w:vMerge w:val="restart"/>
          </w:tcPr>
          <w:p w14:paraId="1F03D35A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Loyalitas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050" w:type="dxa"/>
          </w:tcPr>
          <w:p w14:paraId="70CFF969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menghabiskan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75A0298D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menghabiskan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</w:p>
        </w:tc>
      </w:tr>
      <w:tr w:rsidR="00FD3948" w:rsidRPr="00A90444" w14:paraId="2E663426" w14:textId="77777777">
        <w:tc>
          <w:tcPr>
            <w:tcW w:w="2695" w:type="dxa"/>
            <w:vMerge/>
          </w:tcPr>
          <w:p w14:paraId="36D8DC12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387F6F03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BD2A314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870" w:type="dxa"/>
          </w:tcPr>
          <w:p w14:paraId="2AC6F9B4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</w:tr>
      <w:tr w:rsidR="00FD3948" w:rsidRPr="00A90444" w14:paraId="37241CC7" w14:textId="77777777">
        <w:tc>
          <w:tcPr>
            <w:tcW w:w="2695" w:type="dxa"/>
            <w:vMerge/>
          </w:tcPr>
          <w:p w14:paraId="21EB73C4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14:paraId="60C4F780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050" w:type="dxa"/>
          </w:tcPr>
          <w:p w14:paraId="7F57C668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-Amanah</w:t>
            </w:r>
          </w:p>
        </w:tc>
        <w:tc>
          <w:tcPr>
            <w:tcW w:w="3870" w:type="dxa"/>
          </w:tcPr>
          <w:p w14:paraId="65638CF9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kerugian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yayasan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  <w:tr w:rsidR="00FD3948" w:rsidRPr="00A90444" w14:paraId="381A6B30" w14:textId="77777777">
        <w:tc>
          <w:tcPr>
            <w:tcW w:w="2695" w:type="dxa"/>
            <w:vMerge/>
          </w:tcPr>
          <w:p w14:paraId="7F70BC7B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22FBB1BF" w14:textId="77777777" w:rsidR="00FD3948" w:rsidRPr="00A90444" w:rsidRDefault="00FD3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CDEB7FE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  <w:tc>
          <w:tcPr>
            <w:tcW w:w="3870" w:type="dxa"/>
          </w:tcPr>
          <w:p w14:paraId="77454950" w14:textId="77777777" w:rsidR="00FD3948" w:rsidRPr="00A90444" w:rsidRDefault="00A9044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sesuka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berkarir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di Yayasan </w:t>
            </w:r>
            <w:proofErr w:type="spellStart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A90444">
              <w:rPr>
                <w:rFonts w:ascii="Times New Roman" w:hAnsi="Times New Roman" w:cs="Times New Roman"/>
                <w:sz w:val="24"/>
                <w:szCs w:val="24"/>
              </w:rPr>
              <w:t xml:space="preserve"> Al-Amanah</w:t>
            </w:r>
          </w:p>
        </w:tc>
      </w:tr>
    </w:tbl>
    <w:p w14:paraId="688EE448" w14:textId="77777777" w:rsidR="00FD3948" w:rsidRPr="00A90444" w:rsidRDefault="00FD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881CF" w14:textId="77777777" w:rsidR="00FD3948" w:rsidRPr="00A90444" w:rsidRDefault="00FD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8D25E" w14:textId="77777777" w:rsidR="00FD3948" w:rsidRPr="00A90444" w:rsidRDefault="00FD3948">
      <w:pPr>
        <w:rPr>
          <w:rFonts w:ascii="Times New Roman" w:hAnsi="Times New Roman" w:cs="Times New Roman"/>
          <w:sz w:val="24"/>
          <w:szCs w:val="24"/>
        </w:rPr>
      </w:pPr>
    </w:p>
    <w:sectPr w:rsidR="00FD3948" w:rsidRPr="00A904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48"/>
    <w:rsid w:val="00A90444"/>
    <w:rsid w:val="00FD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D624"/>
  <w15:docId w15:val="{B1F69BE4-0FF7-4406-9EA5-C816AF6A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alfia</dc:creator>
  <cp:lastModifiedBy>alfia</cp:lastModifiedBy>
  <cp:revision>24</cp:revision>
  <dcterms:created xsi:type="dcterms:W3CDTF">2021-10-25T08:00:00Z</dcterms:created>
  <dcterms:modified xsi:type="dcterms:W3CDTF">2021-11-19T16:00:00Z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1dae11cc07a542ddbb415fcc30f777e3</vt:lpwstr>
  </property>
</Properties>
</file>