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709" w:firstLine="11"/>
        <w:jc w:val="center"/>
        <w:rPr>
          <w:rFonts w:ascii="Times New Roman" w:hAnsi="Times New Roman" w:cs="Times New Roman"/>
          <w:b/>
          <w:bCs/>
          <w:sz w:val="40"/>
          <w:szCs w:val="40"/>
          <w:lang w:val="en-US"/>
        </w:rPr>
      </w:pPr>
      <w:r>
        <w:rPr>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863600" cy="937895"/>
                    </a:xfrm>
                    <a:prstGeom prst="rect">
                      <a:avLst/>
                    </a:prstGeom>
                    <a:noFill/>
                    <a:ln>
                      <a:noFill/>
                    </a:ln>
                  </pic:spPr>
                </pic:pic>
              </a:graphicData>
            </a:graphic>
          </wp:anchor>
        </w:drawing>
      </w:r>
      <w:r>
        <w:rPr>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pPr>
        <w:spacing w:after="120" w:line="240" w:lineRule="auto"/>
        <w:rPr>
          <w:rFonts w:ascii="Times New Roman" w:hAnsi="Times New Roman"/>
          <w:b/>
          <w:sz w:val="28"/>
          <w:szCs w:val="28"/>
          <w:lang w:val="en-US"/>
        </w:rPr>
      </w:pPr>
    </w:p>
    <w:p>
      <w:pPr>
        <w:autoSpaceDE w:val="0"/>
        <w:autoSpaceDN w:val="0"/>
        <w:adjustRightInd w:val="0"/>
        <w:spacing w:after="0" w:line="240" w:lineRule="auto"/>
        <w:jc w:val="center"/>
        <w:rPr>
          <w:rFonts w:ascii="Times New Roman" w:hAnsi="Times New Roman" w:cs="Times New Roman"/>
          <w:b/>
          <w:color w:val="000000" w:themeColor="text1"/>
          <w:sz w:val="24"/>
          <w:szCs w:val="24"/>
          <w:lang w:val="en-GB"/>
          <w14:textFill>
            <w14:solidFill>
              <w14:schemeClr w14:val="tx1"/>
            </w14:solidFill>
          </w14:textFill>
        </w:rPr>
      </w:pPr>
      <w:r>
        <w:rPr>
          <w:rFonts w:ascii="Times New Roman" w:hAnsi="Times New Roman" w:cs="Times New Roman"/>
          <w:b/>
          <w:color w:val="000000" w:themeColor="text1"/>
          <w:sz w:val="24"/>
          <w:szCs w:val="24"/>
          <w:lang w:val="en-GB"/>
          <w14:textFill>
            <w14:solidFill>
              <w14:schemeClr w14:val="tx1"/>
            </w14:solidFill>
          </w14:textFill>
        </w:rPr>
        <w:t xml:space="preserve">A FIELD EXPERIENCE PROGRAM FOR TEACHING CHILDREN WITH DIVERSE ABILITIES COURSE IN A FACULTY OF EDUCATION </w:t>
      </w:r>
    </w:p>
    <w:p>
      <w:pPr>
        <w:autoSpaceDE w:val="0"/>
        <w:autoSpaceDN w:val="0"/>
        <w:adjustRightInd w:val="0"/>
        <w:spacing w:after="0" w:line="240" w:lineRule="auto"/>
        <w:jc w:val="center"/>
        <w:rPr>
          <w:rFonts w:ascii="Times New Roman" w:hAnsi="Times New Roman" w:cs="Times New Roman"/>
          <w:b/>
          <w:color w:val="000000" w:themeColor="text1"/>
          <w:sz w:val="24"/>
          <w:szCs w:val="24"/>
          <w:lang w:val="en-GB"/>
          <w14:textFill>
            <w14:solidFill>
              <w14:schemeClr w14:val="tx1"/>
            </w14:solidFill>
          </w14:textFill>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GB"/>
        </w:rPr>
        <w:t>Juniriang Zendrato</w:t>
      </w:r>
      <w:r>
        <w:rPr>
          <w:rFonts w:ascii="Times New Roman" w:hAnsi="Times New Roman" w:cs="Times New Roman"/>
          <w:b/>
          <w:bCs/>
          <w:color w:val="000000"/>
          <w:sz w:val="24"/>
          <w:szCs w:val="24"/>
        </w:rPr>
        <w:t xml:space="preserve"> </w:t>
      </w:r>
    </w:p>
    <w:p>
      <w:pPr>
        <w:pStyle w:val="24"/>
        <w:rPr>
          <w:sz w:val="22"/>
          <w:szCs w:val="24"/>
          <w:lang w:val="en-US"/>
        </w:rPr>
      </w:pPr>
      <w:r>
        <w:rPr>
          <w:sz w:val="22"/>
          <w:szCs w:val="24"/>
          <w:lang w:val="en-GB"/>
        </w:rPr>
        <w:t>Primary Teacher Education Department</w:t>
      </w:r>
      <w:r>
        <w:rPr>
          <w:sz w:val="22"/>
          <w:szCs w:val="24"/>
        </w:rPr>
        <w:t xml:space="preserve">, </w:t>
      </w:r>
      <w:r>
        <w:rPr>
          <w:sz w:val="22"/>
          <w:szCs w:val="24"/>
          <w:lang w:val="en-GB"/>
        </w:rPr>
        <w:t>Pelita Harapan</w:t>
      </w:r>
      <w:r>
        <w:rPr>
          <w:sz w:val="22"/>
          <w:szCs w:val="24"/>
        </w:rPr>
        <w:t xml:space="preserve"> University</w:t>
      </w:r>
    </w:p>
    <w:p>
      <w:pPr>
        <w:pStyle w:val="24"/>
        <w:rPr>
          <w:sz w:val="22"/>
          <w:szCs w:val="24"/>
        </w:rPr>
      </w:pPr>
      <w:r>
        <w:rPr>
          <w:sz w:val="22"/>
          <w:szCs w:val="24"/>
          <w:lang w:val="en-GB"/>
        </w:rPr>
        <w:t>juniriang.zendrato@uph.edu</w:t>
      </w:r>
      <w:r>
        <w:rPr>
          <w:rFonts w:ascii="Arial" w:hAnsi="Arial" w:cs="Arial"/>
          <w:sz w:val="22"/>
          <w:szCs w:val="22"/>
        </w:rPr>
        <w:t xml:space="preserve"> </w:t>
      </w:r>
    </w:p>
    <w:p>
      <w:pPr>
        <w:pBdr>
          <w:bottom w:val="single" w:color="auto" w:sz="6" w:space="1"/>
        </w:pBdr>
        <w:autoSpaceDE w:val="0"/>
        <w:autoSpaceDN w:val="0"/>
        <w:adjustRightInd w:val="0"/>
        <w:spacing w:after="0" w:line="240" w:lineRule="auto"/>
        <w:rPr>
          <w:rFonts w:ascii="Times New Roman" w:hAnsi="Times New Roman" w:cs="Times New Roman"/>
          <w:vertAlign w:val="superscript"/>
          <w:lang w:val="en-US"/>
        </w:rPr>
      </w:pPr>
    </w:p>
    <w:p>
      <w:pPr>
        <w:autoSpaceDE w:val="0"/>
        <w:autoSpaceDN w:val="0"/>
        <w:adjustRightInd w:val="0"/>
        <w:spacing w:after="0" w:line="240" w:lineRule="auto"/>
        <w:jc w:val="center"/>
        <w:rPr>
          <w:szCs w:val="24"/>
          <w:lang w:val="en-US"/>
        </w:rPr>
      </w:pPr>
    </w:p>
    <w:p>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pPr>
        <w:pStyle w:val="22"/>
        <w:spacing w:before="120" w:after="120"/>
        <w:ind w:left="0" w:right="57"/>
        <w:rPr>
          <w:sz w:val="22"/>
          <w:szCs w:val="22"/>
        </w:rPr>
      </w:pPr>
      <w:r>
        <w:rPr>
          <w:sz w:val="22"/>
          <w:szCs w:val="22"/>
        </w:rPr>
        <w:t>Artikel ini mengangkat permasalahan mengenai kesenjangan yang terjadi antara Profil Lulusan dan penilaian di dalam mata kuliah Pendidikan Luar Biasa yang diselengarakan oleh Fakultas Ilmu Pendidikan di Tangerang, Indonesia. Oleh karena itu, tujuan dari artikel ini adalah menjelaskan pentingnya program pengalaman lapangan bagi mata kuliah ini sebagai solusi untuk mencapai Profil Lulusan yang telah ditentukan. Metode penelitiannya adalah kualitatif dengan menggunakan studi kasus. Hasil penelitian adalah program pengalaman lapangan perlu diadakan dalam mata kuliah ini karena (1) mempersiapkan mahasiswa guru mengajar anak berkebutuhan khusus; (2) membangun kerja sama dengan sekolah mitra untuk tempat praktik mengajar mahasiswa guru; (3) memberikan kesempatan kepada mahasiswa guru untuk meningkatkan keterampilan mengajar dan mengembangkan afeksi guru, dan (4) meningkatkan perasaan berkompeten mahasiswa guru. Selain itu, program ini juga akan membantu mahasiswa guru untuk tidak hanya memahami pendidikan inklusi tetapi juga pendidikan yang holistis dari perspektif kristiani. Oleh karena itu, mahasiswa guru perlu memiliki hubungan yang transendental sebelum mengajar para murid khususnya anak berkebutuhan khusus. Sebagai kesimpulan, program pengalaman lapangan di mata kuliah Pendidikan Luar Biasa memenuhi nilai-nilai Profil Lulusan dalam hal “Panggilan” dan “Kompetensi” melalui pencapaian Tujuan Pembelajaran Program yang ditetapkan Fakultas Ilmu Pendidikan.</w:t>
      </w:r>
    </w:p>
    <w:p>
      <w:pPr>
        <w:pStyle w:val="22"/>
        <w:spacing w:before="120" w:after="120"/>
        <w:ind w:left="0" w:right="57"/>
        <w:rPr>
          <w:sz w:val="22"/>
          <w:szCs w:val="22"/>
          <w:lang w:val="id-ID"/>
        </w:rPr>
      </w:pPr>
      <w:r>
        <w:rPr>
          <w:b/>
          <w:sz w:val="22"/>
          <w:szCs w:val="22"/>
          <w:lang w:val="id-ID"/>
        </w:rPr>
        <w:t xml:space="preserve">Kata Kunci: </w:t>
      </w:r>
      <w:r>
        <w:rPr>
          <w:i/>
          <w:sz w:val="22"/>
          <w:szCs w:val="22"/>
          <w:lang w:val="id-ID"/>
        </w:rPr>
        <w:t xml:space="preserve">profil lulusan, </w:t>
      </w:r>
      <w:r>
        <w:rPr>
          <w:i/>
          <w:sz w:val="22"/>
          <w:szCs w:val="22"/>
          <w:lang w:val="en-GB"/>
        </w:rPr>
        <w:t>penilaian</w:t>
      </w:r>
      <w:r>
        <w:rPr>
          <w:i/>
          <w:sz w:val="22"/>
          <w:szCs w:val="22"/>
          <w:lang w:val="id-ID"/>
        </w:rPr>
        <w:t>, pendidikan ink</w:t>
      </w:r>
      <w:r>
        <w:rPr>
          <w:i/>
          <w:sz w:val="22"/>
          <w:szCs w:val="22"/>
          <w:lang w:val="en-GB"/>
        </w:rPr>
        <w:t>l</w:t>
      </w:r>
      <w:r>
        <w:rPr>
          <w:i/>
          <w:sz w:val="22"/>
          <w:szCs w:val="22"/>
          <w:lang w:val="id-ID"/>
        </w:rPr>
        <w:t>usi</w:t>
      </w:r>
      <w:r>
        <w:rPr>
          <w:sz w:val="22"/>
          <w:szCs w:val="22"/>
          <w:lang w:val="id-ID"/>
        </w:rPr>
        <w:t>.</w:t>
      </w:r>
    </w:p>
    <w:p>
      <w:pPr>
        <w:pStyle w:val="22"/>
        <w:spacing w:after="120"/>
        <w:ind w:left="0" w:right="57"/>
        <w:rPr>
          <w:sz w:val="22"/>
          <w:szCs w:val="22"/>
          <w:lang w:val="id-ID"/>
        </w:rPr>
      </w:pPr>
    </w:p>
    <w:p>
      <w:pPr>
        <w:pStyle w:val="21"/>
        <w:spacing w:before="120" w:after="120"/>
        <w:jc w:val="left"/>
        <w:rPr>
          <w:i/>
          <w:lang w:val="id-ID"/>
        </w:rPr>
      </w:pPr>
      <w:r>
        <w:rPr>
          <w:i/>
          <w:lang w:val="id-ID"/>
        </w:rPr>
        <w:t>Abstract</w:t>
      </w:r>
    </w:p>
    <w:p>
      <w:pPr>
        <w:pStyle w:val="22"/>
        <w:spacing w:before="120" w:after="120"/>
        <w:ind w:left="0" w:right="57"/>
        <w:rPr>
          <w:i/>
          <w:sz w:val="22"/>
          <w:szCs w:val="22"/>
        </w:rPr>
      </w:pPr>
      <w:r>
        <w:rPr>
          <w:i/>
          <w:sz w:val="22"/>
          <w:szCs w:val="22"/>
        </w:rPr>
        <w:t>This article discussed the gap between the Graduate Profile and the assessment of the Teaching Children With Diverse Abilities course held by the Faculty of Education in Tangerang, Indonesia. Therefore, the purpose of the paper was to explain the importance of a field experience program for the course as a solution to achieve the Graduate Profile. It is a qualitative research method. A case study was employed. The results were the field experience program could be implemented in this course because of (1) preparing the teacher students to teach special needs children; (2) building partnership with schools to be teaching practice places for the teacher students; (3) giving opportunities to teacher students to improve their teaching skills and develop their teaching affection, and (4) increasing the teacher students' feeling of competency. Moreover, the program did not only guide the teacher students to understand inclusive education, but also the holistic education from the Christian perspective. Therefore, the teacher students needed to have transcendental relationships before teaching the students with diverse abilities. The conclusion was the field experience program in the Teaching Children With Diverse Abilities fulfilled the graduate profile in the values of “Calling” and “Competence” through its achievement to Faculty of Education Program Learning Objectives, Competencies Learning Objectives, and assessments.</w:t>
      </w:r>
    </w:p>
    <w:p>
      <w:pPr>
        <w:pStyle w:val="22"/>
        <w:spacing w:before="120" w:after="120"/>
        <w:ind w:left="0" w:right="57"/>
        <w:rPr>
          <w:i/>
          <w:sz w:val="22"/>
          <w:szCs w:val="22"/>
          <w:lang w:val="id-ID"/>
        </w:rPr>
      </w:pPr>
      <w:r>
        <w:rPr>
          <w:b/>
          <w:i/>
          <w:sz w:val="22"/>
          <w:szCs w:val="22"/>
          <w:lang w:val="id-ID"/>
        </w:rPr>
        <w:t>K</w:t>
      </w:r>
      <w:r>
        <w:rPr>
          <w:b/>
          <w:i/>
          <w:sz w:val="22"/>
          <w:szCs w:val="22"/>
          <w:lang w:val="en-GB"/>
        </w:rPr>
        <w:t>eywords</w:t>
      </w:r>
      <w:r>
        <w:rPr>
          <w:b/>
          <w:i/>
          <w:sz w:val="22"/>
          <w:szCs w:val="22"/>
          <w:lang w:val="id-ID"/>
        </w:rPr>
        <w:t xml:space="preserve">: </w:t>
      </w:r>
      <w:r>
        <w:rPr>
          <w:i/>
          <w:sz w:val="22"/>
          <w:szCs w:val="22"/>
          <w:lang w:val="id-ID"/>
        </w:rPr>
        <w:t>graduate profile, assessment, inclusive education.</w:t>
      </w:r>
    </w:p>
    <w:p>
      <w:pPr>
        <w:spacing w:after="0" w:line="240" w:lineRule="auto"/>
        <w:jc w:val="both"/>
        <w:rPr>
          <w:rFonts w:cs="Times New Roman" w:asciiTheme="majorBidi" w:hAnsiTheme="majorBidi"/>
          <w:i/>
          <w:color w:val="000000" w:themeColor="text1"/>
          <w:lang w:val="en-US"/>
          <w14:textFill>
            <w14:solidFill>
              <w14:schemeClr w14:val="tx1"/>
            </w14:solidFill>
          </w14:textFill>
        </w:rPr>
      </w:pPr>
    </w:p>
    <w:p>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Pr>
          <w:rFonts w:ascii="TimesNewRomanPSMT" w:hAnsi="TimesNewRomanPSMT"/>
          <w:color w:val="000000"/>
          <w:lang w:val="en-GB"/>
        </w:rPr>
        <w:t>Juniriang Zendrato</w:t>
      </w:r>
    </w:p>
    <w:p>
      <w:pPr>
        <w:spacing w:after="0" w:line="240" w:lineRule="auto"/>
        <w:ind w:left="5040"/>
        <w:jc w:val="both"/>
        <w:rPr>
          <w:rFonts w:ascii="Times New Roman" w:hAnsi="Times New Roman" w:cs="Times New Roman"/>
          <w:color w:val="000000"/>
          <w:sz w:val="20"/>
          <w:szCs w:val="20"/>
          <w:lang w:val="en-US"/>
        </w:rPr>
      </w:pPr>
      <w:r>
        <w:rPr>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pPr>
        <w:tabs>
          <w:tab w:val="left" w:pos="6237"/>
        </w:tabs>
        <w:autoSpaceDE w:val="0"/>
        <w:autoSpaceDN w:val="0"/>
        <w:adjustRightInd w:val="0"/>
        <w:spacing w:after="0" w:line="240" w:lineRule="auto"/>
        <w:rPr>
          <w:rFonts w:ascii="Times New Roman" w:hAnsi="Times New Roman" w:cs="Times New Roman"/>
          <w:color w:val="000000"/>
        </w:rPr>
      </w:pPr>
      <w:r>
        <w:rPr>
          <w:rFonts w:ascii="Wingdings" w:hAnsi="Wingdings"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w:t>
      </w:r>
      <w:r>
        <w:rPr>
          <w:rFonts w:ascii="Times New Roman" w:hAnsi="Times New Roman" w:cs="Times New Roman"/>
        </w:rPr>
        <w:tab/>
      </w:r>
    </w:p>
    <w:p>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Pr>
          <w:rFonts w:ascii="Times New Roman" w:hAnsi="Times New Roman" w:cs="Times New Roman"/>
          <w:color w:val="000000"/>
          <w:lang w:val="en-GB"/>
        </w:rPr>
        <w:t>juniriang.zendrato@uph.edu</w:t>
      </w:r>
      <w:r>
        <w:rPr>
          <w:rFonts w:ascii="Times New Roman" w:hAnsi="Times New Roman" w:cs="Times New Roman"/>
          <w:color w:val="000000"/>
        </w:rPr>
        <w:tab/>
      </w:r>
      <w:r>
        <w:rPr>
          <w:rFonts w:ascii="Times New Roman" w:hAnsi="Times New Roman" w:cs="Times New Roman"/>
          <w:color w:val="000000"/>
        </w:rPr>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r>
      <w:r>
        <w:rPr>
          <w:rFonts w:ascii="Times New Roman" w:hAnsi="Times New Roman" w:cs="Times New Roman"/>
          <w:lang w:val="en-US"/>
        </w:rPr>
        <w:t xml:space="preserve">: </w:t>
      </w:r>
      <w:r>
        <w:rPr>
          <w:rFonts w:ascii="Times New Roman" w:hAnsi="Times New Roman" w:cs="Times New Roman"/>
          <w:lang w:val="en-GB"/>
        </w:rPr>
        <w:t>081380234124</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pPr>
        <w:tabs>
          <w:tab w:val="left" w:pos="851"/>
          <w:tab w:val="left" w:pos="6237"/>
        </w:tabs>
        <w:autoSpaceDE w:val="0"/>
        <w:autoSpaceDN w:val="0"/>
        <w:adjustRightInd w:val="0"/>
        <w:spacing w:after="0" w:line="240" w:lineRule="auto"/>
        <w:rPr>
          <w:rFonts w:ascii="Times New Roman" w:hAnsi="Times New Roman" w:cs="Times New Roman"/>
        </w:rPr>
      </w:pPr>
    </w:p>
    <w:p>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pPr>
        <w:tabs>
          <w:tab w:val="left" w:pos="851"/>
          <w:tab w:val="left" w:pos="6237"/>
        </w:tabs>
        <w:autoSpaceDE w:val="0"/>
        <w:autoSpaceDN w:val="0"/>
        <w:adjustRightInd w:val="0"/>
        <w:spacing w:after="0" w:line="240" w:lineRule="auto"/>
        <w:rPr>
          <w:rFonts w:ascii="Times New Roman" w:hAnsi="Times New Roman" w:cs="Times New Roman"/>
        </w:rPr>
      </w:pPr>
    </w:p>
    <w:p>
      <w:pPr>
        <w:tabs>
          <w:tab w:val="left" w:pos="851"/>
          <w:tab w:val="left" w:pos="6237"/>
        </w:tabs>
        <w:autoSpaceDE w:val="0"/>
        <w:autoSpaceDN w:val="0"/>
        <w:adjustRightInd w:val="0"/>
        <w:spacing w:after="0" w:line="240" w:lineRule="auto"/>
        <w:rPr>
          <w:rFonts w:ascii="Times New Roman" w:hAnsi="Times New Roman" w:cs="Times New Roman"/>
          <w:lang w:val="en-US"/>
        </w:rPr>
        <w:sectPr>
          <w:footerReference r:id="rId5" w:type="default"/>
          <w:pgSz w:w="11906" w:h="16838"/>
          <w:pgMar w:top="1440" w:right="1080" w:bottom="1440" w:left="1080" w:header="851" w:footer="709" w:gutter="0"/>
          <w:pgNumType w:start="1"/>
          <w:cols w:space="708" w:num="1"/>
          <w:docGrid w:linePitch="360" w:charSpace="0"/>
        </w:sectPr>
      </w:pPr>
    </w:p>
    <w:p>
      <w:pPr>
        <w:pStyle w:val="2"/>
        <w:numPr>
          <w:ilvl w:val="0"/>
          <w:numId w:val="0"/>
        </w:numPr>
        <w:spacing w:before="0" w:after="0" w:line="276" w:lineRule="auto"/>
        <w:jc w:val="both"/>
        <w:rPr>
          <w:b/>
          <w:sz w:val="22"/>
          <w:szCs w:val="22"/>
          <w:lang w:val="id-ID"/>
        </w:rPr>
      </w:pPr>
    </w:p>
    <w:p>
      <w:pPr>
        <w:pStyle w:val="2"/>
        <w:numPr>
          <w:ilvl w:val="0"/>
          <w:numId w:val="0"/>
        </w:numPr>
        <w:spacing w:before="0" w:after="0" w:line="276" w:lineRule="auto"/>
        <w:jc w:val="both"/>
        <w:rPr>
          <w:b/>
          <w:sz w:val="22"/>
          <w:szCs w:val="22"/>
        </w:rPr>
      </w:pPr>
      <w:r>
        <w:rPr>
          <w:b/>
          <w:sz w:val="22"/>
          <w:szCs w:val="22"/>
          <w:lang w:val="id-ID"/>
        </w:rPr>
        <w:t>INTRODUCTION</w:t>
      </w:r>
    </w:p>
    <w:p>
      <w:pPr>
        <w:autoSpaceDE w:val="0"/>
        <w:spacing w:after="0"/>
        <w:contextualSpacing/>
        <w:jc w:val="both"/>
        <w:rPr>
          <w:rFonts w:ascii="Times New Roman" w:hAnsi="Times New Roman"/>
          <w:color w:val="000000"/>
          <w:lang w:val="en-GB"/>
        </w:rPr>
      </w:pPr>
      <w:r>
        <w:rPr>
          <w:rFonts w:ascii="Times New Roman" w:hAnsi="Times New Roman" w:eastAsia="Calibri"/>
          <w:color w:val="000000"/>
        </w:rPr>
        <w:tab/>
      </w:r>
      <w:r>
        <w:rPr>
          <w:rFonts w:ascii="Times New Roman" w:hAnsi="Times New Roman" w:eastAsia="Calibri"/>
          <w:color w:val="000000"/>
          <w:lang w:val="en-GB"/>
        </w:rPr>
        <w:t xml:space="preserve">A Faculty of Education located in Tangerang, Indonesia was built </w:t>
      </w:r>
      <w:r>
        <w:rPr>
          <w:rFonts w:ascii="Times New Roman" w:hAnsi="Times New Roman" w:eastAsia="Calibri"/>
          <w:color w:val="000000"/>
        </w:rPr>
        <w:t>in 2016</w:t>
      </w:r>
      <w:r>
        <w:rPr>
          <w:rFonts w:ascii="Times New Roman" w:hAnsi="Times New Roman" w:eastAsia="Calibri"/>
          <w:color w:val="000000"/>
          <w:lang w:val="en-GB"/>
        </w:rPr>
        <w:t xml:space="preserve">. It </w:t>
      </w:r>
      <w:r>
        <w:rPr>
          <w:rFonts w:ascii="Times New Roman" w:hAnsi="Times New Roman" w:eastAsia="Calibri"/>
          <w:color w:val="000000"/>
        </w:rPr>
        <w:t xml:space="preserve">produces teachers </w:t>
      </w:r>
      <w:r>
        <w:rPr>
          <w:rFonts w:ascii="Times New Roman" w:hAnsi="Times New Roman" w:eastAsia="Calibri"/>
          <w:color w:val="000000"/>
          <w:lang w:val="en-GB"/>
        </w:rPr>
        <w:t>for any level starting the primary school to senior high school. The graduates are expected to serve the education across Indonesia areas. The teacher students of this Faculty of Education study various</w:t>
      </w:r>
      <w:r>
        <w:rPr>
          <w:rFonts w:ascii="Times New Roman" w:hAnsi="Times New Roman" w:eastAsia="Calibri"/>
          <w:color w:val="000000"/>
        </w:rPr>
        <w:t xml:space="preserve"> courses on general education, theology, psychology, technology, </w:t>
      </w:r>
      <w:r>
        <w:rPr>
          <w:rFonts w:ascii="Times New Roman" w:hAnsi="Times New Roman" w:eastAsia="Calibri"/>
          <w:color w:val="000000"/>
          <w:lang w:val="en-GB"/>
        </w:rPr>
        <w:t xml:space="preserve">content, </w:t>
      </w:r>
      <w:r>
        <w:rPr>
          <w:rFonts w:ascii="Times New Roman" w:hAnsi="Times New Roman" w:eastAsia="Calibri"/>
          <w:color w:val="000000"/>
        </w:rPr>
        <w:t xml:space="preserve">and some others. One of the courses is the Teaching Children </w:t>
      </w:r>
      <w:r>
        <w:rPr>
          <w:rFonts w:ascii="Times New Roman" w:hAnsi="Times New Roman" w:eastAsia="Calibri"/>
          <w:color w:val="000000"/>
          <w:lang w:val="en-GB"/>
        </w:rPr>
        <w:t>W</w:t>
      </w:r>
      <w:r>
        <w:rPr>
          <w:rFonts w:ascii="Times New Roman" w:hAnsi="Times New Roman" w:eastAsia="Calibri"/>
          <w:color w:val="000000"/>
        </w:rPr>
        <w:t xml:space="preserve">ith Diverse Abilities (TCWDA) course. </w:t>
      </w:r>
      <w:r>
        <w:rPr>
          <w:rFonts w:ascii="Times New Roman" w:hAnsi="Times New Roman"/>
          <w:color w:val="000000"/>
        </w:rPr>
        <w:t xml:space="preserve">This course is given to </w:t>
      </w:r>
      <w:r>
        <w:rPr>
          <w:rFonts w:ascii="Times New Roman" w:hAnsi="Times New Roman"/>
          <w:color w:val="000000"/>
          <w:lang w:val="en-GB"/>
        </w:rPr>
        <w:t xml:space="preserve">the teacher </w:t>
      </w:r>
      <w:r>
        <w:rPr>
          <w:rFonts w:ascii="Times New Roman" w:hAnsi="Times New Roman"/>
          <w:color w:val="000000"/>
        </w:rPr>
        <w:t xml:space="preserve">students </w:t>
      </w:r>
      <w:r>
        <w:rPr>
          <w:rFonts w:ascii="Times New Roman" w:hAnsi="Times New Roman"/>
          <w:color w:val="000000"/>
          <w:lang w:val="en-GB"/>
        </w:rPr>
        <w:t xml:space="preserve">to prepare themselves to teach the special needs students or in case they teach in the </w:t>
      </w:r>
      <w:r>
        <w:rPr>
          <w:rFonts w:ascii="Times New Roman" w:hAnsi="Times New Roman"/>
          <w:color w:val="000000"/>
        </w:rPr>
        <w:t xml:space="preserve">inclusive schools. </w:t>
      </w:r>
      <w:r>
        <w:rPr>
          <w:rFonts w:ascii="Times New Roman" w:hAnsi="Times New Roman"/>
          <w:color w:val="000000"/>
          <w:lang w:val="en-GB"/>
        </w:rPr>
        <w:t xml:space="preserve">Waki mentioned the statement of the Directorate of PSLB (2004) that inclusive education in Indonesia is defined as an education service system that allows children with special needs to study with their peers in regular schools near their places. As a result, this kind of education requires the school to adjust its curriculum, facilities, and educational infrastructure, as well as the learning system which accommodates the students' needs </w:t>
      </w:r>
      <w:r>
        <w:rPr>
          <w:rFonts w:ascii="Times New Roman" w:hAnsi="Times New Roman"/>
          <w:color w:val="000000"/>
        </w:rPr>
        <w:fldChar w:fldCharType="begin"/>
      </w:r>
      <w:r>
        <w:rPr>
          <w:rFonts w:ascii="Times New Roman" w:hAnsi="Times New Roman"/>
          <w:color w:val="000000"/>
        </w:rPr>
        <w:instrText xml:space="preserve"> ADDIN ZOTERO_ITEM CSL_CITATION {"citationID":"Fwk79mmV","properties":{"formattedCitation":"(Waki, 2017, pp. 80\\uc0\\u8211{}81)","plainCitation":"(Waki, 2017, pp. 80–81)","noteIndex":0},"citationItems":[{"id":1549,"uris":["http://zotero.org/users/local/T6D5QgKM/items/P96J8B7N"],"uri":["http://zotero.org/users/local/T6D5QgKM/items/P96J8B7N"],"itemData":{"id":1549,"type":"article-journal","abstract":"Penelitian ini bertujuan untuk mengetahui persepsi orang tua terhadap implemetation pendidikan inklusif sekolah dasar di Gunung Putri Kecamatan. Penelitian ini menggunakan metode survei. 26.742 orang tua yang menyebar ke 92 sekolah dasar pada tahun 2016 diambil terpisah sebagai populasi penelitian. Sampel penelitian adalah 394 orang tua dalam sepuluh kabupaten Kecamatan  Gunung Putri Bogor. Dalam pengumpulan data, peneliti memakai kuesioner terbuka. Data dianalisis dengan menggunakan rumus persentase. Hasil penelitian menunjukkan bahwa 77,2% orang tua setuju dengan penerapan pendidikan inklusif di sekolah dasar, sedangkan 25,8% orang tua tidak setuju dengan kinerja pendidikan inklusif di sekolah dasar.  Alasan  pelaksanaan  pendidikan inklusif bahwa setiap anak memiliki hak yang sama, sedangkan  alasan yang tidak setuju dengan pelaksanaansekolah inklusi karena takut dampak negatif ketika anak-anak digabung","container-title":"Jurnal Basicedu","DOI":"10.31004/basicedu.v1i1.158","ISSN":"2580-1147","issue":"1","language":"en, in","note":"number: 1","page":"79-83","source":"jbasic.org","title":"PERSEPSI ORANG TUA TERHADAP PENDIDIKAN INKLUSIF SEKOLAH DASAR DI KECAMATAN GUNUNG PUTRI KABUPATEN BOGOR PROVINSI JAWA-BARAT","volume":"1","author":[{"family":"Waki","given":"Ahmad"}],"issued":{"date-parts":[["2017",4,28]]}},"locator":"80-81"}],"schema":"https://github.com/citation-style-language/schema/raw/master/csl-citation.json"} </w:instrText>
      </w:r>
      <w:r>
        <w:rPr>
          <w:rFonts w:ascii="Times New Roman" w:hAnsi="Times New Roman"/>
          <w:color w:val="000000"/>
        </w:rPr>
        <w:fldChar w:fldCharType="separate"/>
      </w:r>
      <w:r>
        <w:rPr>
          <w:rFonts w:ascii="Times New Roman" w:hAnsi="Times New Roman" w:cs="Times New Roman"/>
          <w:szCs w:val="24"/>
        </w:rPr>
        <w:t>(Waki, 2017, pp. 80–81)</w:t>
      </w:r>
      <w:r>
        <w:rPr>
          <w:rFonts w:ascii="Times New Roman" w:hAnsi="Times New Roman"/>
          <w:color w:val="000000"/>
        </w:rPr>
        <w:fldChar w:fldCharType="end"/>
      </w:r>
      <w:r>
        <w:rPr>
          <w:rFonts w:ascii="Times New Roman" w:hAnsi="Times New Roman"/>
          <w:color w:val="000000"/>
          <w:lang w:val="en-GB"/>
        </w:rPr>
        <w:t xml:space="preserve">. </w:t>
      </w:r>
    </w:p>
    <w:p>
      <w:pPr>
        <w:shd w:val="clear" w:color="auto" w:fill="FFFFFF"/>
        <w:autoSpaceDE w:val="0"/>
        <w:spacing w:after="0"/>
        <w:ind w:firstLine="720"/>
        <w:contextualSpacing/>
        <w:jc w:val="both"/>
        <w:rPr>
          <w:rFonts w:ascii="Times New Roman" w:hAnsi="Times New Roman" w:eastAsia="Arial"/>
          <w:color w:val="000000"/>
          <w:shd w:val="clear" w:color="auto" w:fill="FFFFFF"/>
          <w:lang w:val="en-GB"/>
        </w:rPr>
      </w:pPr>
      <w:r>
        <w:rPr>
          <w:rFonts w:ascii="Times New Roman" w:hAnsi="Times New Roman"/>
          <w:color w:val="000000"/>
          <w:lang w:val="en-GB"/>
        </w:rPr>
        <w:t xml:space="preserve">Regarding the need of the teacher students, the TCWDA course syllabus is reviewed.  Based on the syllabus document, </w:t>
      </w:r>
      <w:r>
        <w:rPr>
          <w:rFonts w:ascii="Times New Roman" w:hAnsi="Times New Roman" w:eastAsia="SimSun"/>
          <w:color w:val="000000"/>
        </w:rPr>
        <w:t xml:space="preserve">it is stated that TCWDA </w:t>
      </w:r>
      <w:r>
        <w:rPr>
          <w:rFonts w:ascii="Times New Roman" w:hAnsi="Times New Roman" w:eastAsia="SimSun"/>
          <w:color w:val="000000"/>
          <w:lang w:val="en-GB"/>
        </w:rPr>
        <w:t>l</w:t>
      </w:r>
      <w:r>
        <w:rPr>
          <w:rFonts w:ascii="Times New Roman" w:hAnsi="Times New Roman" w:eastAsia="SimSun"/>
          <w:color w:val="000000"/>
        </w:rPr>
        <w:t xml:space="preserve">earning </w:t>
      </w:r>
      <w:r>
        <w:rPr>
          <w:rFonts w:ascii="Times New Roman" w:hAnsi="Times New Roman" w:eastAsia="SimSun"/>
          <w:color w:val="000000"/>
          <w:lang w:val="en-GB"/>
        </w:rPr>
        <w:t>o</w:t>
      </w:r>
      <w:r>
        <w:rPr>
          <w:rFonts w:ascii="Times New Roman" w:hAnsi="Times New Roman" w:eastAsia="SimSun"/>
          <w:color w:val="000000"/>
        </w:rPr>
        <w:t>bjectives are as follow</w:t>
      </w:r>
      <w:r>
        <w:rPr>
          <w:rFonts w:ascii="Times New Roman" w:hAnsi="Times New Roman" w:eastAsia="SimSun"/>
          <w:color w:val="000000"/>
          <w:lang w:val="en-GB"/>
        </w:rPr>
        <w:t>:</w:t>
      </w:r>
      <w:r>
        <w:rPr>
          <w:rFonts w:ascii="Times New Roman" w:hAnsi="Times New Roman" w:eastAsia="SimSun"/>
          <w:color w:val="000000"/>
        </w:rPr>
        <w:t xml:space="preserve"> (1)</w:t>
      </w:r>
      <w:r>
        <w:rPr>
          <w:rFonts w:ascii="Times New Roman" w:hAnsi="Times New Roman" w:eastAsia="SimSun"/>
          <w:color w:val="000000"/>
          <w:lang w:val="en-GB"/>
        </w:rPr>
        <w:t xml:space="preserve"> t</w:t>
      </w:r>
      <w:r>
        <w:rPr>
          <w:rFonts w:ascii="Times New Roman" w:hAnsi="Times New Roman" w:eastAsia="SimSun"/>
          <w:color w:val="000000"/>
        </w:rPr>
        <w:t>he students are able to identify the special need children by their characteristics; (2)</w:t>
      </w:r>
      <w:r>
        <w:rPr>
          <w:rFonts w:ascii="Times New Roman" w:hAnsi="Times New Roman" w:eastAsia="SimSun"/>
          <w:color w:val="000000"/>
          <w:lang w:val="en-GB"/>
        </w:rPr>
        <w:t xml:space="preserve"> t</w:t>
      </w:r>
      <w:r>
        <w:rPr>
          <w:rFonts w:ascii="Times New Roman" w:hAnsi="Times New Roman" w:eastAsia="Arial"/>
          <w:color w:val="000000"/>
          <w:shd w:val="clear" w:color="auto" w:fill="FFFFFF"/>
        </w:rPr>
        <w:t>he students are able to explain the inclusion education based on the biblical perspective and its challenges in the implementation</w:t>
      </w:r>
      <w:r>
        <w:rPr>
          <w:rFonts w:ascii="Times New Roman" w:hAnsi="Times New Roman" w:eastAsia="SimSun"/>
          <w:color w:val="000000"/>
          <w:lang w:val="en-GB"/>
        </w:rPr>
        <w:t xml:space="preserve">; </w:t>
      </w:r>
      <w:r>
        <w:rPr>
          <w:rFonts w:ascii="Times New Roman" w:hAnsi="Times New Roman"/>
          <w:color w:val="000000"/>
          <w:lang w:val="en-GB"/>
        </w:rPr>
        <w:t xml:space="preserve">and </w:t>
      </w:r>
      <w:r>
        <w:rPr>
          <w:rFonts w:ascii="Times New Roman" w:hAnsi="Times New Roman" w:eastAsia="SimSun"/>
          <w:color w:val="000000"/>
          <w:lang w:val="en-GB"/>
        </w:rPr>
        <w:t>(3) t</w:t>
      </w:r>
      <w:r>
        <w:rPr>
          <w:rFonts w:ascii="Times New Roman" w:hAnsi="Times New Roman" w:eastAsia="Arial"/>
          <w:color w:val="000000"/>
          <w:shd w:val="clear" w:color="auto" w:fill="FFFFFF"/>
        </w:rPr>
        <w:t xml:space="preserve">he students are able to analyze the special need children's problems with the appropriate learning strategies. </w:t>
      </w:r>
      <w:r>
        <w:rPr>
          <w:rFonts w:ascii="Times New Roman" w:hAnsi="Times New Roman" w:eastAsia="Arial"/>
          <w:color w:val="000000"/>
          <w:shd w:val="clear" w:color="auto" w:fill="FFFFFF"/>
          <w:lang w:val="en-GB"/>
        </w:rPr>
        <w:t>Further, t</w:t>
      </w:r>
      <w:r>
        <w:rPr>
          <w:rFonts w:ascii="Times New Roman" w:hAnsi="Times New Roman" w:eastAsia="Arial"/>
          <w:color w:val="000000"/>
          <w:shd w:val="clear" w:color="auto" w:fill="FFFFFF"/>
        </w:rPr>
        <w:t>he assessments given to the students as the mid-term task and final project are stated in the syllabus are as follow: (1)</w:t>
      </w:r>
      <w:r>
        <w:rPr>
          <w:rFonts w:ascii="Times New Roman" w:hAnsi="Times New Roman" w:eastAsia="Arial"/>
          <w:color w:val="000000"/>
          <w:shd w:val="clear" w:color="auto" w:fill="FFFFFF"/>
          <w:lang w:val="en-GB"/>
        </w:rPr>
        <w:t xml:space="preserve"> t</w:t>
      </w:r>
      <w:r>
        <w:rPr>
          <w:rFonts w:ascii="Times New Roman" w:hAnsi="Times New Roman" w:eastAsia="Arial"/>
          <w:color w:val="000000"/>
          <w:shd w:val="clear" w:color="auto" w:fill="FFFFFF"/>
        </w:rPr>
        <w:t>he students are able to present the learning disabilities in terms of the biblical foundation, variety, causes, and teaching strategies</w:t>
      </w:r>
      <w:r>
        <w:rPr>
          <w:rFonts w:ascii="Times New Roman" w:hAnsi="Times New Roman" w:eastAsia="Arial"/>
          <w:color w:val="000000"/>
          <w:shd w:val="clear" w:color="auto" w:fill="FFFFFF"/>
          <w:lang w:val="en-GB"/>
        </w:rPr>
        <w:t xml:space="preserve"> in groups and (2) t</w:t>
      </w:r>
      <w:r>
        <w:rPr>
          <w:rFonts w:ascii="Times New Roman" w:hAnsi="Times New Roman" w:eastAsia="Arial"/>
          <w:color w:val="000000"/>
          <w:shd w:val="clear" w:color="auto" w:fill="FFFFFF"/>
        </w:rPr>
        <w:t>he students are able to design the Individualized Educational Program (IED)</w:t>
      </w:r>
      <w:r>
        <w:rPr>
          <w:rFonts w:ascii="Times New Roman" w:hAnsi="Times New Roman" w:eastAsia="Arial"/>
          <w:color w:val="000000"/>
          <w:shd w:val="clear" w:color="auto" w:fill="FFFFFF"/>
          <w:lang w:val="en-GB"/>
        </w:rPr>
        <w:t xml:space="preserve"> individually. </w:t>
      </w:r>
      <w:r>
        <w:rPr>
          <w:rFonts w:hint="default" w:ascii="Times New Roman" w:hAnsi="Times New Roman" w:eastAsia="Arial"/>
          <w:color w:val="000000"/>
          <w:shd w:val="clear" w:color="auto" w:fill="FFFFFF"/>
          <w:lang w:val="en-GB"/>
        </w:rPr>
        <w:t>Next, t</w:t>
      </w:r>
      <w:r>
        <w:rPr>
          <w:rFonts w:ascii="Times New Roman" w:hAnsi="Times New Roman" w:eastAsia="Arial"/>
          <w:color w:val="000000"/>
          <w:shd w:val="clear" w:color="auto" w:fill="FFFFFF"/>
          <w:lang w:val="en-GB"/>
        </w:rPr>
        <w:t xml:space="preserve">he syllabus covers four big topics during the semester, i.e.: (1) </w:t>
      </w:r>
      <w:r>
        <w:rPr>
          <w:rFonts w:hint="default" w:ascii="Times New Roman" w:hAnsi="Times New Roman" w:eastAsia="Arial"/>
          <w:color w:val="000000"/>
          <w:shd w:val="clear" w:color="auto" w:fill="FFFFFF"/>
          <w:lang w:val="en-GB"/>
        </w:rPr>
        <w:t>e</w:t>
      </w:r>
      <w:r>
        <w:rPr>
          <w:rFonts w:ascii="Times New Roman" w:hAnsi="Times New Roman" w:eastAsia="Arial"/>
          <w:color w:val="000000"/>
          <w:shd w:val="clear" w:color="auto" w:fill="FFFFFF"/>
        </w:rPr>
        <w:t>ducational services for special needs children, (2) Universal Learning Design (UDL) approach</w:t>
      </w:r>
      <w:r>
        <w:rPr>
          <w:rFonts w:ascii="Times New Roman" w:hAnsi="Times New Roman" w:eastAsia="Arial"/>
          <w:color w:val="000000"/>
          <w:shd w:val="clear" w:color="auto" w:fill="FFFFFF"/>
          <w:lang w:val="en-GB"/>
        </w:rPr>
        <w:t xml:space="preserve">, (3) </w:t>
      </w:r>
      <w:r>
        <w:rPr>
          <w:rFonts w:ascii="Times New Roman" w:hAnsi="Times New Roman" w:eastAsia="Arial"/>
          <w:color w:val="000000"/>
          <w:shd w:val="clear" w:color="auto" w:fill="FFFFFF"/>
        </w:rPr>
        <w:t>Individualized Educational Program (IED)</w:t>
      </w:r>
      <w:r>
        <w:rPr>
          <w:rFonts w:ascii="Times New Roman" w:hAnsi="Times New Roman" w:eastAsia="Arial"/>
          <w:color w:val="000000"/>
          <w:shd w:val="clear" w:color="auto" w:fill="FFFFFF"/>
          <w:lang w:val="en-GB"/>
        </w:rPr>
        <w:t xml:space="preserve">, and (4) </w:t>
      </w:r>
      <w:r>
        <w:rPr>
          <w:rFonts w:hint="default" w:ascii="Times New Roman" w:hAnsi="Times New Roman" w:eastAsia="Arial"/>
          <w:color w:val="000000"/>
          <w:shd w:val="clear" w:color="auto" w:fill="FFFFFF"/>
          <w:lang w:val="en-GB"/>
        </w:rPr>
        <w:t>l</w:t>
      </w:r>
      <w:r>
        <w:rPr>
          <w:rFonts w:ascii="Times New Roman" w:hAnsi="Times New Roman" w:eastAsia="Arial"/>
          <w:color w:val="000000"/>
          <w:shd w:val="clear" w:color="auto" w:fill="FFFFFF"/>
        </w:rPr>
        <w:t>earning disabilities</w:t>
      </w:r>
      <w:r>
        <w:rPr>
          <w:rFonts w:ascii="Times New Roman" w:hAnsi="Times New Roman" w:eastAsia="Arial"/>
          <w:color w:val="000000"/>
          <w:shd w:val="clear" w:color="auto" w:fill="FFFFFF"/>
          <w:lang w:val="en-GB"/>
        </w:rPr>
        <w:t>.</w:t>
      </w:r>
    </w:p>
    <w:p>
      <w:pPr>
        <w:pStyle w:val="12"/>
        <w:autoSpaceDE w:val="0"/>
        <w:spacing w:before="0" w:beforeAutospacing="0" w:after="0" w:afterAutospacing="0" w:line="276" w:lineRule="auto"/>
        <w:ind w:firstLine="720"/>
        <w:contextualSpacing/>
        <w:jc w:val="both"/>
        <w:rPr>
          <w:rFonts w:ascii="Times New Roman" w:hAnsi="Times New Roman" w:eastAsia="Calibri"/>
          <w:color w:val="000000"/>
          <w:sz w:val="22"/>
          <w:szCs w:val="22"/>
        </w:rPr>
      </w:pPr>
      <w:r>
        <w:rPr>
          <w:rFonts w:ascii="Times New Roman" w:hAnsi="Times New Roman" w:eastAsia="Arial"/>
          <w:sz w:val="22"/>
          <w:szCs w:val="22"/>
          <w:shd w:val="clear" w:color="auto" w:fill="FFFFFF"/>
        </w:rPr>
        <w:t xml:space="preserve">Looking back to the vision and mission of the Faculty of Education, </w:t>
      </w:r>
      <w:r>
        <w:rPr>
          <w:rFonts w:ascii="Times New Roman" w:hAnsi="Times New Roman" w:eastAsia="Arial"/>
          <w:sz w:val="22"/>
          <w:szCs w:val="22"/>
          <w:shd w:val="clear" w:color="auto" w:fill="FFFFFF"/>
          <w:lang w:val="en-GB"/>
        </w:rPr>
        <w:t xml:space="preserve">the development of this course syllabus is rooted in it. </w:t>
      </w:r>
      <w:r>
        <w:rPr>
          <w:rFonts w:ascii="Times New Roman" w:hAnsi="Times New Roman"/>
          <w:sz w:val="22"/>
          <w:szCs w:val="22"/>
          <w:lang w:val="en-GB"/>
        </w:rPr>
        <w:t xml:space="preserve">Burkett in </w:t>
      </w:r>
      <w:r>
        <w:rPr>
          <w:rFonts w:ascii="Times New Roman" w:hAnsi="Times New Roman"/>
          <w:sz w:val="22"/>
          <w:szCs w:val="22"/>
        </w:rPr>
        <w:fldChar w:fldCharType="begin"/>
      </w:r>
      <w:r>
        <w:rPr>
          <w:rFonts w:ascii="Times New Roman" w:hAnsi="Times New Roman"/>
          <w:sz w:val="22"/>
          <w:szCs w:val="22"/>
        </w:rPr>
        <w:instrText xml:space="preserve"> ADDIN ZOTERO_ITEM CSL_CITATION {"citationID":"P76eGAmS","properties":{"formattedCitation":"(Lick et al., 2012, p. 33)","plainCitation":"(Lick et al., 2012, p. 33)","dontUpdate":true,"noteIndex":0},"citationItems":[{"id":1526,"uris":["http://zotero.org/users/local/T6D5QgKM/items/GGEJBQIZ"],"uri":["http://zotero.org/users/local/T6D5QgKM/items/GGEJBQIZ"],"itemData":{"id":1526,"type":"book","abstract":"Build a dynamic system for change! From NCLB to Common Core standards, we are inundated with directives for improving our schools. How can we really create lasting change? By applying the Change Creation system! Learning community pioneers Dale Lick, Karl Clauset, and Carlene Murphy lead teachers, principals, and schools in this dynamic approach to school improvement. With a free, comprehensive online collection of practical resources, this book shows you how to:  Develop the right vision, relationships, and culture to create and sustain change Model learning-inquiry cycles for action teams for success Build loyalty, trust, and responsibility within your teams and across the school","event-place":"London","ISBN":"978-1-4522-7963-3","language":"en","note":"Google-Books-ID: yDB2AwAAQBAJ","number-of-pages":"257","publisher":"Corwin Press","publisher-place":"London","source":"Google Books","title":"Schools Can Change: A Step-by-Step Change Creation System for Building Innovative Schools and Increasing Student Learning","title-short":"Schools Can Change","author":[{"family":"Lick","given":"Dale W."},{"family":"Clauset","given":"Karl H."},{"family":"Murphy","given":"Carlene U."}],"issued":{"date-parts":[["2012",11,20]]}},"locator":"33"}],"schema":"https://github.com/citation-style-language/schema/raw/master/csl-citation.json"} </w:instrText>
      </w:r>
      <w:r>
        <w:rPr>
          <w:rFonts w:ascii="Times New Roman" w:hAnsi="Times New Roman"/>
          <w:sz w:val="22"/>
          <w:szCs w:val="22"/>
        </w:rPr>
        <w:fldChar w:fldCharType="separate"/>
      </w:r>
      <w:r>
        <w:rPr>
          <w:rFonts w:ascii="Times New Roman" w:hAnsi="Times New Roman"/>
          <w:sz w:val="22"/>
          <w:szCs w:val="22"/>
        </w:rPr>
        <w:t>Lick et al.</w:t>
      </w:r>
      <w:r>
        <w:rPr>
          <w:rFonts w:ascii="Times New Roman" w:hAnsi="Times New Roman"/>
          <w:sz w:val="22"/>
          <w:szCs w:val="22"/>
          <w:lang w:val="en-GB"/>
        </w:rPr>
        <w:t xml:space="preserve"> (</w:t>
      </w:r>
      <w:r>
        <w:rPr>
          <w:rFonts w:ascii="Times New Roman" w:hAnsi="Times New Roman"/>
          <w:sz w:val="22"/>
          <w:szCs w:val="22"/>
        </w:rPr>
        <w:t>2012, p. 33)</w:t>
      </w:r>
      <w:r>
        <w:rPr>
          <w:rFonts w:ascii="Times New Roman" w:hAnsi="Times New Roman"/>
          <w:sz w:val="22"/>
          <w:szCs w:val="22"/>
        </w:rPr>
        <w:fldChar w:fldCharType="end"/>
      </w:r>
      <w:r>
        <w:rPr>
          <w:rFonts w:ascii="Times New Roman" w:hAnsi="Times New Roman"/>
          <w:sz w:val="22"/>
          <w:szCs w:val="22"/>
          <w:lang w:val="en-GB"/>
        </w:rPr>
        <w:t xml:space="preserve"> said that a clear vision that identified the learning to be achieved could help keep a school and the efforts on target. It provided the underlying foundation upon which all decisions were made. Therefore, t</w:t>
      </w:r>
      <w:r>
        <w:rPr>
          <w:rFonts w:ascii="Times New Roman" w:hAnsi="Times New Roman"/>
          <w:sz w:val="22"/>
          <w:szCs w:val="22"/>
        </w:rPr>
        <w:t xml:space="preserve">o achieve the Graduate </w:t>
      </w:r>
      <w:r>
        <w:rPr>
          <w:rFonts w:ascii="Times New Roman" w:hAnsi="Times New Roman"/>
          <w:color w:val="000000"/>
          <w:sz w:val="22"/>
          <w:szCs w:val="22"/>
        </w:rPr>
        <w:t xml:space="preserve">Profile (GP), which is a derivative of the </w:t>
      </w:r>
      <w:r>
        <w:rPr>
          <w:rFonts w:hint="default" w:ascii="Times New Roman" w:hAnsi="Times New Roman"/>
          <w:color w:val="000000"/>
          <w:sz w:val="22"/>
          <w:szCs w:val="22"/>
          <w:lang w:val="en-GB"/>
        </w:rPr>
        <w:t xml:space="preserve"> </w:t>
      </w:r>
      <w:r>
        <w:rPr>
          <w:rFonts w:ascii="Times New Roman" w:hAnsi="Times New Roman"/>
          <w:color w:val="000000"/>
          <w:sz w:val="22"/>
          <w:szCs w:val="22"/>
        </w:rPr>
        <w:t xml:space="preserve">vision mission, through this TCWDA course, there are two Program Learning Outcomes (PLO) of the course developed from the Faculty of Education core values, i.e.: (1) Calling - the students are expected to have sincerity and commitment to developing the attitudes, values, and abilities of students as Image of God and the students are expected to make decisions with God's wisdom in the context of solving problems in their field of expertise, based on the results of reliable analysis of information and data and (2) Competence - the students are expected to master the concepts, principles, and application of various learning methods based on a biblical perspective. In short, through the TCWDA course, the teacher students are expected to become </w:t>
      </w:r>
      <w:r>
        <w:rPr>
          <w:rFonts w:ascii="Times New Roman" w:hAnsi="Times New Roman" w:eastAsia="Calibri"/>
          <w:color w:val="000000"/>
          <w:sz w:val="22"/>
          <w:szCs w:val="22"/>
        </w:rPr>
        <w:t xml:space="preserve">Christian teachers (Calling) and international standard teachers (Competence). </w:t>
      </w:r>
    </w:p>
    <w:p>
      <w:pPr>
        <w:autoSpaceDE w:val="0"/>
        <w:spacing w:after="0"/>
        <w:ind w:firstLine="720"/>
        <w:jc w:val="both"/>
        <w:rPr>
          <w:rFonts w:ascii="Times New Roman" w:hAnsi="Times New Roman"/>
          <w:color w:val="000000"/>
        </w:rPr>
      </w:pPr>
      <w:r>
        <w:rPr>
          <w:rFonts w:ascii="Times New Roman" w:hAnsi="Times New Roman" w:eastAsia="Calibri"/>
          <w:bCs/>
          <w:color w:val="000000"/>
          <w:lang w:val="en-GB"/>
        </w:rPr>
        <w:t>“</w:t>
      </w:r>
      <w:r>
        <w:rPr>
          <w:rFonts w:ascii="Times New Roman" w:hAnsi="Times New Roman" w:eastAsia="Calibri"/>
          <w:bCs/>
          <w:color w:val="000000"/>
        </w:rPr>
        <w:t>Calling</w:t>
      </w:r>
      <w:r>
        <w:rPr>
          <w:rFonts w:ascii="Times New Roman" w:hAnsi="Times New Roman" w:eastAsia="Calibri"/>
          <w:bCs/>
          <w:color w:val="000000"/>
          <w:lang w:val="en-GB"/>
        </w:rPr>
        <w:t>”</w:t>
      </w:r>
      <w:r>
        <w:rPr>
          <w:rFonts w:ascii="Times New Roman" w:hAnsi="Times New Roman" w:eastAsia="Calibri"/>
          <w:bCs/>
          <w:color w:val="000000"/>
        </w:rPr>
        <w:t xml:space="preserve"> in this course context is the ability of the </w:t>
      </w:r>
      <w:r>
        <w:rPr>
          <w:rFonts w:ascii="Times New Roman" w:hAnsi="Times New Roman" w:eastAsia="Calibri"/>
          <w:bCs/>
          <w:color w:val="000000"/>
          <w:lang w:val="en-GB"/>
        </w:rPr>
        <w:t xml:space="preserve">teacher </w:t>
      </w:r>
      <w:r>
        <w:rPr>
          <w:rFonts w:ascii="Times New Roman" w:hAnsi="Times New Roman" w:eastAsia="Calibri"/>
          <w:bCs/>
          <w:color w:val="000000"/>
        </w:rPr>
        <w:t xml:space="preserve">students to see that being a Christian teacher is not only a profession or a job, but further is to make discipleship through educating </w:t>
      </w:r>
      <w:r>
        <w:rPr>
          <w:rFonts w:hint="default" w:ascii="Times New Roman" w:hAnsi="Times New Roman" w:eastAsia="Calibri"/>
          <w:bCs/>
          <w:color w:val="000000"/>
          <w:lang w:val="en-GB"/>
        </w:rPr>
        <w:t xml:space="preserve">the students including </w:t>
      </w:r>
      <w:r>
        <w:rPr>
          <w:rFonts w:ascii="Times New Roman" w:hAnsi="Times New Roman" w:eastAsia="Calibri"/>
          <w:bCs/>
          <w:color w:val="000000"/>
        </w:rPr>
        <w:t xml:space="preserve">the special needs </w:t>
      </w:r>
      <w:r>
        <w:rPr>
          <w:rFonts w:hint="default" w:ascii="Times New Roman" w:hAnsi="Times New Roman" w:eastAsia="Calibri"/>
          <w:bCs/>
          <w:color w:val="000000"/>
          <w:lang w:val="en-GB"/>
        </w:rPr>
        <w:t>ones</w:t>
      </w:r>
      <w:r>
        <w:rPr>
          <w:rFonts w:ascii="Times New Roman" w:hAnsi="Times New Roman" w:eastAsia="Calibri"/>
          <w:bCs/>
          <w:color w:val="000000"/>
        </w:rPr>
        <w:t>. Thus, the</w:t>
      </w:r>
      <w:r>
        <w:rPr>
          <w:rFonts w:ascii="Times New Roman" w:hAnsi="Times New Roman" w:eastAsia="Calibri"/>
          <w:bCs/>
          <w:color w:val="000000"/>
          <w:lang w:val="en-GB"/>
        </w:rPr>
        <w:t xml:space="preserve"> teacher students </w:t>
      </w:r>
      <w:r>
        <w:rPr>
          <w:rFonts w:ascii="Times New Roman" w:hAnsi="Times New Roman" w:eastAsia="Calibri"/>
          <w:bCs/>
          <w:color w:val="000000"/>
        </w:rPr>
        <w:t xml:space="preserve">are expected to have the spirit of being a lifelong learners by always </w:t>
      </w:r>
      <w:r>
        <w:rPr>
          <w:rFonts w:ascii="Times New Roman" w:hAnsi="Times New Roman" w:eastAsia="Calibri"/>
          <w:color w:val="000000"/>
        </w:rPr>
        <w:t xml:space="preserve">reflecting their thoughts and actions critically. </w:t>
      </w:r>
      <w:r>
        <w:rPr>
          <w:rFonts w:ascii="Times New Roman" w:hAnsi="Times New Roman" w:eastAsia="Calibri"/>
          <w:color w:val="000000"/>
          <w:lang w:val="en-GB"/>
        </w:rPr>
        <w:t>While “</w:t>
      </w:r>
      <w:r>
        <w:rPr>
          <w:rFonts w:ascii="Times New Roman" w:hAnsi="Times New Roman" w:eastAsia="Calibri"/>
          <w:color w:val="000000"/>
        </w:rPr>
        <w:t>Competence</w:t>
      </w:r>
      <w:r>
        <w:rPr>
          <w:rFonts w:ascii="Times New Roman" w:hAnsi="Times New Roman" w:eastAsia="Calibri"/>
          <w:color w:val="000000"/>
          <w:lang w:val="en-GB"/>
        </w:rPr>
        <w:t>”</w:t>
      </w:r>
      <w:r>
        <w:rPr>
          <w:rFonts w:ascii="Times New Roman" w:hAnsi="Times New Roman" w:eastAsia="Calibri"/>
          <w:color w:val="000000"/>
        </w:rPr>
        <w:t xml:space="preserve"> in this course context is the ability of the students to </w:t>
      </w:r>
      <w:r>
        <w:rPr>
          <w:rFonts w:ascii="Times New Roman" w:hAnsi="Times New Roman"/>
          <w:color w:val="000000"/>
        </w:rPr>
        <w:t>teach the special needs children by adjusting and redeeming the curriculum as needed since a teacher is a living curriculum. The students are also expected to have</w:t>
      </w:r>
      <w:r>
        <w:rPr>
          <w:rFonts w:ascii="Times New Roman" w:hAnsi="Times New Roman" w:eastAsia="Calibri"/>
          <w:color w:val="000000"/>
        </w:rPr>
        <w:t xml:space="preserve"> a holistic understanding of learning by mastering the learning theories, principles of education, and the learning competencies of the subject taught. So that the </w:t>
      </w:r>
      <w:r>
        <w:rPr>
          <w:rFonts w:ascii="Times New Roman" w:hAnsi="Times New Roman" w:eastAsia="Calibri"/>
          <w:color w:val="000000"/>
          <w:lang w:val="en-GB"/>
        </w:rPr>
        <w:t xml:space="preserve">teacher </w:t>
      </w:r>
      <w:r>
        <w:rPr>
          <w:rFonts w:ascii="Times New Roman" w:hAnsi="Times New Roman" w:eastAsia="Calibri"/>
          <w:color w:val="000000"/>
        </w:rPr>
        <w:t>students will get wisdom in teaching the special needs children</w:t>
      </w:r>
      <w:r>
        <w:rPr>
          <w:rFonts w:ascii="Times New Roman" w:hAnsi="Times New Roman" w:eastAsia="Calibri"/>
          <w:color w:val="000000"/>
          <w:lang w:val="en-GB"/>
        </w:rPr>
        <w:t xml:space="preserve">. </w:t>
      </w:r>
    </w:p>
    <w:p>
      <w:pPr>
        <w:autoSpaceDE w:val="0"/>
        <w:spacing w:after="0"/>
        <w:ind w:firstLine="720"/>
        <w:jc w:val="both"/>
        <w:rPr>
          <w:rFonts w:ascii="Times New Roman" w:hAnsi="Times New Roman"/>
          <w:color w:val="000000"/>
          <w:shd w:val="clear" w:color="auto" w:fill="FFFFFF"/>
          <w:lang w:val="en-GB"/>
        </w:rPr>
      </w:pPr>
      <w:r>
        <w:rPr>
          <w:rFonts w:ascii="Times New Roman" w:hAnsi="Times New Roman" w:eastAsia="Calibri"/>
          <w:bCs/>
          <w:color w:val="000000"/>
          <w:lang w:val="en-GB"/>
        </w:rPr>
        <w:t>After juxtaposing the Graduate Profile and the course assessments, i</w:t>
      </w:r>
      <w:r>
        <w:rPr>
          <w:rFonts w:ascii="Times New Roman" w:hAnsi="Times New Roman" w:eastAsia="Calibri"/>
          <w:bCs/>
          <w:color w:val="000000"/>
        </w:rPr>
        <w:t xml:space="preserve">t is found that there is a gap between the need </w:t>
      </w:r>
      <w:r>
        <w:rPr>
          <w:rFonts w:ascii="Times New Roman" w:hAnsi="Times New Roman" w:eastAsia="Calibri"/>
          <w:bCs/>
          <w:color w:val="000000"/>
          <w:lang w:val="en-GB"/>
        </w:rPr>
        <w:t xml:space="preserve">(Graduate Profile) </w:t>
      </w:r>
      <w:r>
        <w:rPr>
          <w:rFonts w:ascii="Times New Roman" w:hAnsi="Times New Roman" w:eastAsia="Calibri"/>
          <w:bCs/>
          <w:color w:val="000000"/>
        </w:rPr>
        <w:t>and the fact</w:t>
      </w:r>
      <w:r>
        <w:rPr>
          <w:rFonts w:ascii="Times New Roman" w:hAnsi="Times New Roman" w:eastAsia="Calibri"/>
          <w:bCs/>
          <w:color w:val="000000"/>
          <w:lang w:val="en-GB"/>
        </w:rPr>
        <w:t xml:space="preserve"> (the assessments)</w:t>
      </w:r>
      <w:r>
        <w:rPr>
          <w:rFonts w:ascii="Times New Roman" w:hAnsi="Times New Roman" w:eastAsia="Calibri"/>
          <w:bCs/>
          <w:color w:val="000000"/>
        </w:rPr>
        <w:t xml:space="preserve">. The need of TCWDA course in achieving the Graduate Profile is helping the students to become subject teachers who are able to perceive their teaching role </w:t>
      </w:r>
      <w:r>
        <w:rPr>
          <w:rFonts w:ascii="Times New Roman" w:hAnsi="Times New Roman" w:eastAsia="Calibri"/>
          <w:bCs/>
          <w:color w:val="000000"/>
          <w:lang w:val="en-GB"/>
        </w:rPr>
        <w:t xml:space="preserve">which </w:t>
      </w:r>
      <w:r>
        <w:rPr>
          <w:rFonts w:ascii="Times New Roman" w:hAnsi="Times New Roman" w:eastAsia="Calibri"/>
          <w:bCs/>
          <w:color w:val="000000"/>
        </w:rPr>
        <w:t xml:space="preserve">is God's calling, become lifelong learners by always reflecting critically, teaching the special needs children skilfully, have a holistic understanding about the inclusive education, develop its curriculum, master the learning theories and competences about it. While the fact </w:t>
      </w:r>
      <w:r>
        <w:rPr>
          <w:rFonts w:hint="default" w:ascii="Times New Roman" w:hAnsi="Times New Roman" w:eastAsia="Calibri"/>
          <w:bCs/>
          <w:color w:val="000000"/>
          <w:lang w:val="en-GB"/>
        </w:rPr>
        <w:t xml:space="preserve"> which </w:t>
      </w:r>
      <w:r>
        <w:rPr>
          <w:rFonts w:ascii="Times New Roman" w:hAnsi="Times New Roman" w:eastAsia="Calibri"/>
          <w:bCs/>
          <w:color w:val="000000"/>
        </w:rPr>
        <w:t>is seen from the assessments</w:t>
      </w:r>
      <w:r>
        <w:rPr>
          <w:rFonts w:hint="default" w:ascii="Times New Roman" w:hAnsi="Times New Roman" w:eastAsia="Calibri"/>
          <w:bCs/>
          <w:color w:val="000000"/>
          <w:lang w:val="en-GB"/>
        </w:rPr>
        <w:t>, i.e</w:t>
      </w:r>
      <w:r>
        <w:rPr>
          <w:rFonts w:ascii="Times New Roman" w:hAnsi="Times New Roman" w:eastAsia="Calibri"/>
          <w:bCs/>
          <w:color w:val="000000"/>
        </w:rPr>
        <w:t xml:space="preserve">. </w:t>
      </w:r>
      <w:r>
        <w:rPr>
          <w:rFonts w:hint="default" w:ascii="Times New Roman" w:hAnsi="Times New Roman" w:eastAsia="Calibri"/>
          <w:bCs/>
          <w:color w:val="000000"/>
          <w:lang w:val="en-GB"/>
        </w:rPr>
        <w:t>t</w:t>
      </w:r>
      <w:r>
        <w:rPr>
          <w:rFonts w:ascii="Times New Roman" w:hAnsi="Times New Roman" w:eastAsia="Calibri"/>
          <w:bCs/>
          <w:color w:val="000000"/>
        </w:rPr>
        <w:t xml:space="preserve">he students are expected to present the inclusive education theories and design the IED from the biblical perspective. It is clearly shown that in its real implementation, </w:t>
      </w:r>
      <w:r>
        <w:rPr>
          <w:rFonts w:hint="default" w:ascii="Times New Roman" w:hAnsi="Times New Roman" w:eastAsia="Calibri"/>
          <w:bCs/>
          <w:color w:val="000000"/>
          <w:lang w:val="en-GB"/>
        </w:rPr>
        <w:t>t</w:t>
      </w:r>
      <w:r>
        <w:rPr>
          <w:rFonts w:ascii="Times New Roman" w:hAnsi="Times New Roman" w:eastAsia="Calibri"/>
          <w:bCs/>
          <w:color w:val="000000"/>
          <w:lang w:val="en-GB"/>
        </w:rPr>
        <w:t xml:space="preserve">he </w:t>
      </w:r>
      <w:r>
        <w:rPr>
          <w:rFonts w:ascii="Times New Roman" w:hAnsi="Times New Roman" w:eastAsia="Calibri"/>
          <w:bCs/>
          <w:color w:val="000000"/>
        </w:rPr>
        <w:t>TCWDA course focuses only on cognitive development. It lacks skill and affection learning experiences</w:t>
      </w:r>
      <w:r>
        <w:rPr>
          <w:rFonts w:hint="default" w:ascii="Times New Roman" w:hAnsi="Times New Roman" w:eastAsia="Calibri"/>
          <w:bCs/>
          <w:color w:val="000000"/>
          <w:lang w:val="en-GB"/>
        </w:rPr>
        <w:t>.</w:t>
      </w:r>
      <w:r>
        <w:rPr>
          <w:rFonts w:ascii="Times New Roman" w:hAnsi="Times New Roman" w:eastAsia="Calibri"/>
          <w:bCs/>
          <w:color w:val="000000"/>
          <w:lang w:val="en-GB"/>
        </w:rPr>
        <w:t xml:space="preserve"> In fact, the</w:t>
      </w:r>
      <w:r>
        <w:rPr>
          <w:rFonts w:ascii="Times New Roman" w:hAnsi="Times New Roman" w:eastAsia="Calibri"/>
          <w:bCs/>
          <w:color w:val="000000"/>
        </w:rPr>
        <w:t xml:space="preserve"> TCWDA course should be taught using a holistic learning approach to </w:t>
      </w:r>
      <w:r>
        <w:rPr>
          <w:rFonts w:ascii="Times New Roman" w:hAnsi="Times New Roman"/>
          <w:color w:val="000000"/>
          <w:shd w:val="clear" w:color="auto" w:fill="FFFFFF"/>
        </w:rPr>
        <w:t>fully activate all aspects of the learner’s personality (intellect, emotions, imagination, body) for more effective and comprehensive learning.</w:t>
      </w:r>
      <w:r>
        <w:rPr>
          <w:rFonts w:ascii="Times New Roman" w:hAnsi="Times New Roman"/>
          <w:color w:val="000000"/>
          <w:shd w:val="clear" w:color="auto" w:fill="FFFFFF"/>
          <w:lang w:val="en-GB"/>
        </w:rPr>
        <w:t xml:space="preserve"> It is also supported by Zendrato who </w:t>
      </w:r>
      <w:r>
        <w:rPr>
          <w:rFonts w:hint="default" w:ascii="Times New Roman" w:hAnsi="Times New Roman"/>
          <w:color w:val="000000"/>
          <w:shd w:val="clear" w:color="auto" w:fill="FFFFFF"/>
          <w:lang w:val="en-GB"/>
        </w:rPr>
        <w:t>said</w:t>
      </w:r>
      <w:r>
        <w:rPr>
          <w:rFonts w:ascii="Times New Roman" w:hAnsi="Times New Roman"/>
          <w:color w:val="000000"/>
          <w:shd w:val="clear" w:color="auto" w:fill="FFFFFF"/>
          <w:lang w:val="en-GB"/>
        </w:rPr>
        <w:t xml:space="preserve"> that learning which facilitate</w:t>
      </w:r>
      <w:r>
        <w:rPr>
          <w:rFonts w:hint="default" w:ascii="Times New Roman" w:hAnsi="Times New Roman"/>
          <w:color w:val="000000"/>
          <w:shd w:val="clear" w:color="auto" w:fill="FFFFFF"/>
          <w:lang w:val="en-GB"/>
        </w:rPr>
        <w:t>d</w:t>
      </w:r>
      <w:r>
        <w:rPr>
          <w:rFonts w:ascii="Times New Roman" w:hAnsi="Times New Roman"/>
          <w:color w:val="000000"/>
          <w:shd w:val="clear" w:color="auto" w:fill="FFFFFF"/>
          <w:lang w:val="en-GB"/>
        </w:rPr>
        <w:t xml:space="preserve"> students’ life changes – to become good people who </w:t>
      </w:r>
      <w:r>
        <w:rPr>
          <w:rFonts w:hint="default" w:ascii="Times New Roman" w:hAnsi="Times New Roman"/>
          <w:color w:val="000000"/>
          <w:shd w:val="clear" w:color="auto" w:fill="FFFFFF"/>
          <w:lang w:val="en-GB"/>
        </w:rPr>
        <w:t>were</w:t>
      </w:r>
      <w:r>
        <w:rPr>
          <w:rFonts w:ascii="Times New Roman" w:hAnsi="Times New Roman"/>
          <w:color w:val="000000"/>
          <w:shd w:val="clear" w:color="auto" w:fill="FFFFFF"/>
          <w:lang w:val="en-GB"/>
        </w:rPr>
        <w:t xml:space="preserve"> not self-centered – bec</w:t>
      </w:r>
      <w:r>
        <w:rPr>
          <w:rFonts w:hint="default" w:ascii="Times New Roman" w:hAnsi="Times New Roman"/>
          <w:color w:val="000000"/>
          <w:shd w:val="clear" w:color="auto" w:fill="FFFFFF"/>
          <w:lang w:val="en-GB"/>
        </w:rPr>
        <w:t>ame</w:t>
      </w:r>
      <w:r>
        <w:rPr>
          <w:rFonts w:ascii="Times New Roman" w:hAnsi="Times New Roman"/>
          <w:color w:val="000000"/>
          <w:shd w:val="clear" w:color="auto" w:fill="FFFFFF"/>
          <w:lang w:val="en-GB"/>
        </w:rPr>
        <w:t xml:space="preserve"> the goal of holistic education. This kind of education d</w:t>
      </w:r>
      <w:r>
        <w:rPr>
          <w:rFonts w:hint="default" w:ascii="Times New Roman" w:hAnsi="Times New Roman"/>
          <w:color w:val="000000"/>
          <w:shd w:val="clear" w:color="auto" w:fill="FFFFFF"/>
          <w:lang w:val="en-GB"/>
        </w:rPr>
        <w:t>id</w:t>
      </w:r>
      <w:r>
        <w:rPr>
          <w:rFonts w:ascii="Times New Roman" w:hAnsi="Times New Roman"/>
          <w:color w:val="000000"/>
          <w:shd w:val="clear" w:color="auto" w:fill="FFFFFF"/>
          <w:lang w:val="en-GB"/>
        </w:rPr>
        <w:t xml:space="preserve"> not only focus on cognitive and skill development but most importantly </w:t>
      </w:r>
      <w:r>
        <w:rPr>
          <w:rFonts w:hint="default" w:ascii="Times New Roman" w:hAnsi="Times New Roman"/>
          <w:color w:val="000000"/>
          <w:shd w:val="clear" w:color="auto" w:fill="FFFFFF"/>
          <w:lang w:val="en-GB"/>
        </w:rPr>
        <w:t>was</w:t>
      </w:r>
      <w:r>
        <w:rPr>
          <w:rFonts w:ascii="Times New Roman" w:hAnsi="Times New Roman"/>
          <w:color w:val="000000"/>
          <w:shd w:val="clear" w:color="auto" w:fill="FFFFFF"/>
          <w:lang w:val="en-GB"/>
        </w:rPr>
        <w:t xml:space="preserve"> the affective aspect</w:t>
      </w:r>
      <w:r>
        <w:rPr>
          <w:rFonts w:hint="default" w:ascii="Times New Roman" w:hAnsi="Times New Roman"/>
          <w:color w:val="000000"/>
          <w:shd w:val="clear" w:color="auto" w:fill="FFFFFF"/>
          <w:lang w:val="en-GB"/>
        </w:rPr>
        <w:t xml:space="preserve"> </w:t>
      </w:r>
      <w:r>
        <w:rPr>
          <w:rFonts w:ascii="Times New Roman" w:hAnsi="Times New Roman"/>
          <w:color w:val="000000"/>
          <w:shd w:val="clear" w:color="auto" w:fill="FFFFFF"/>
          <w:lang w:val="en-GB"/>
        </w:rPr>
        <w:fldChar w:fldCharType="begin"/>
      </w:r>
      <w:r>
        <w:rPr>
          <w:rFonts w:ascii="Times New Roman" w:hAnsi="Times New Roman"/>
          <w:color w:val="000000"/>
          <w:shd w:val="clear" w:color="auto" w:fill="FFFFFF"/>
          <w:lang w:val="en-GB"/>
        </w:rPr>
        <w:instrText xml:space="preserve"> ADDIN ZOTERO_ITEM CSL_CITATION {"citationID":"KC7O9an7","properties":{"formattedCitation":"(Zendrato &amp; Sambonwaman, 2020, p. 625)","plainCitation":"(Zendrato &amp; Sambonwaman, 2020, p. 625)","noteIndex":0},"citationItems":[{"id":1436,"uris":["http://zotero.org/users/local/T6D5QgKM/items/ZLHUTGZN"],"uri":["http://zotero.org/users/local/T6D5QgKM/items/ZLHUTGZN"],"itemData":{"id":1436,"type":"article-journal","abstract":"Keterampilan mengajar dan kemampuan berkomunikasi di dalam kelas menjadi tantangan setiap dosen di dalam mewujudkan pendidikan yang holistis. Sehubungan dengan hal tersebut, proyek pembuatan video pembelajaran sebagai sarana untuk meningkatkan keterampilan mengajar dan kemampuan berkomunikasi dosen diadakan untuk kemudian diteliti dan dilihat dampak pengiringnya pada sekelompok mahasiswa. Tujuan penelitian ini adalah mendeskripsikan dampak pengiring proyek video pembelajaran dan mendeskripsikan langkah pelaksanaan proyek video pembelajaran bagi mahasiswa tingkat ke-2 di mata kuliah. Studi Kurikulum Program Studi Pendidikan Guru Sekolah Dasar Universitas Pelita Harapan. Metode penelitian survei digunakan dengan teknik pengumpulan data melalui angket yang diberikan kepada 46 mahasiswa, wawancara kepada 10 mahasiswa, observasi kelas sebanyak 12 kali, dan studi dokumen mengajar dosen. Hasil dari penelitian ini adalah sebagai berikut; dampak pengiring proyek video pembelajaran yang dirasakan oleh para mahasiswa adalah meningkatnya minat (83%), perhatian (87%), dan motivasi belajar mahasiswa (96%); meningkatnya pemahaman konsep materi (74%), ingatan terhadap poin-poin pembelajaran (83%), keterampilan berpikir (76%); dan meningkatnya kreativitas (83%). Adapun tahapan yang dilakukan di dalam mengerjakan proyek video pembelajaran ini adalah tahap persiapan yang terdiri dari 7 langkah, tahap pelaksanaan yang terdiri dari 8 langkah, dan tahap evaluasi yang terdiri dari 2 langkah.","container-title":"Jurnal Basicedu","DOI":"10.31004/basicedu.v4i3.412","ISSN":"2580-1147","issue":"3","language":"Eng","note":"number: 3","page":"624-636","source":"jbasic.org","title":"Dampak Pengiring Proyek Video Pembelajaran Pada Matakuliah Studi Kurikulum di Program Studi Pendidikan Guru Sekolah Dasar Universitas Pelita Harapan","volume":"4","author":[{"family":"Zendrato","given":"Juniriang"},{"family":"Sambonwaman","given":"Mega Natalia"}],"issued":{"date-parts":[["2020",5,15]]}},"locator":"625"}],"schema":"https://github.com/citation-style-language/schema/raw/master/csl-citation.json"} </w:instrText>
      </w:r>
      <w:r>
        <w:rPr>
          <w:rFonts w:ascii="Times New Roman" w:hAnsi="Times New Roman"/>
          <w:color w:val="000000"/>
          <w:shd w:val="clear" w:color="auto" w:fill="FFFFFF"/>
          <w:lang w:val="en-GB"/>
        </w:rPr>
        <w:fldChar w:fldCharType="separate"/>
      </w:r>
      <w:r>
        <w:rPr>
          <w:rFonts w:ascii="Times New Roman" w:hAnsi="Times New Roman" w:cs="Times New Roman"/>
        </w:rPr>
        <w:t>(Zendrato &amp; Sambonwaman, 2020, p. 625)</w:t>
      </w:r>
      <w:r>
        <w:rPr>
          <w:rFonts w:ascii="Times New Roman" w:hAnsi="Times New Roman"/>
          <w:color w:val="000000"/>
          <w:shd w:val="clear" w:color="auto" w:fill="FFFFFF"/>
          <w:lang w:val="en-GB"/>
        </w:rPr>
        <w:fldChar w:fldCharType="end"/>
      </w:r>
      <w:r>
        <w:rPr>
          <w:rFonts w:ascii="Times New Roman" w:hAnsi="Times New Roman"/>
          <w:color w:val="000000"/>
          <w:shd w:val="clear" w:color="auto" w:fill="FFFFFF"/>
          <w:lang w:val="en-GB"/>
        </w:rPr>
        <w:t>. Therefore, this TCWDA course needs an assessment to facilitate the teacher students to improve their cognitive, skill, and affection. The assessments have been designed only to accommodate the development of their cognitive, but not yet the skill and affecti</w:t>
      </w:r>
      <w:r>
        <w:rPr>
          <w:rFonts w:hint="default" w:ascii="Times New Roman" w:hAnsi="Times New Roman"/>
          <w:color w:val="000000"/>
          <w:shd w:val="clear" w:color="auto" w:fill="FFFFFF"/>
          <w:lang w:val="en-GB"/>
        </w:rPr>
        <w:t>on</w:t>
      </w:r>
      <w:r>
        <w:rPr>
          <w:rFonts w:ascii="Times New Roman" w:hAnsi="Times New Roman"/>
          <w:color w:val="000000"/>
          <w:shd w:val="clear" w:color="auto" w:fill="FFFFFF"/>
          <w:lang w:val="en-GB"/>
        </w:rPr>
        <w:t xml:space="preserve">. Therefore, a program should be created for this course to fulfill the teacher students to </w:t>
      </w:r>
      <w:r>
        <w:rPr>
          <w:rFonts w:hint="default" w:ascii="Times New Roman" w:hAnsi="Times New Roman"/>
          <w:color w:val="000000"/>
          <w:shd w:val="clear" w:color="auto" w:fill="FFFFFF"/>
          <w:lang w:val="en-GB"/>
        </w:rPr>
        <w:t xml:space="preserve">fulfill </w:t>
      </w:r>
      <w:r>
        <w:rPr>
          <w:rFonts w:ascii="Times New Roman" w:hAnsi="Times New Roman"/>
          <w:color w:val="000000"/>
          <w:shd w:val="clear" w:color="auto" w:fill="FFFFFF"/>
          <w:lang w:val="en-GB"/>
        </w:rPr>
        <w:t>the Graduate Profile.</w:t>
      </w:r>
    </w:p>
    <w:p>
      <w:pPr>
        <w:autoSpaceDE w:val="0"/>
        <w:spacing w:after="0"/>
        <w:ind w:firstLine="720"/>
        <w:jc w:val="both"/>
        <w:rPr>
          <w:rFonts w:ascii="Times New Roman" w:hAnsi="Times New Roman"/>
          <w:color w:val="000000"/>
        </w:rPr>
      </w:pPr>
    </w:p>
    <w:tbl>
      <w:tblPr>
        <w:tblStyle w:val="7"/>
        <w:tblpPr w:leftFromText="180" w:rightFromText="180" w:vertAnchor="text" w:horzAnchor="margin" w:tblpXSpec="center" w:tblpY="63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0"/>
        <w:gridCol w:w="1960"/>
        <w:gridCol w:w="382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0" w:type="dxa"/>
            <w:shd w:val="clear" w:color="auto" w:fill="E7E6E6"/>
            <w:vAlign w:val="center"/>
          </w:tcPr>
          <w:p>
            <w:pPr>
              <w:autoSpaceDE w:val="0"/>
              <w:spacing w:after="0"/>
              <w:contextualSpacing/>
              <w:jc w:val="center"/>
              <w:rPr>
                <w:rFonts w:ascii="Times New Roman" w:hAnsi="Times New Roman" w:eastAsia="Calibri"/>
                <w:b/>
                <w:bCs/>
                <w:color w:val="000000"/>
              </w:rPr>
            </w:pPr>
            <w:r>
              <w:rPr>
                <w:rFonts w:ascii="Times New Roman" w:hAnsi="Times New Roman" w:eastAsia="Calibri"/>
                <w:b/>
                <w:bCs/>
                <w:color w:val="000000"/>
              </w:rPr>
              <w:t>No</w:t>
            </w:r>
          </w:p>
        </w:tc>
        <w:tc>
          <w:tcPr>
            <w:tcW w:w="1960" w:type="dxa"/>
            <w:shd w:val="clear" w:color="auto" w:fill="E7E6E6"/>
          </w:tcPr>
          <w:p>
            <w:pPr>
              <w:autoSpaceDE w:val="0"/>
              <w:spacing w:after="0"/>
              <w:contextualSpacing/>
              <w:jc w:val="center"/>
              <w:rPr>
                <w:rFonts w:ascii="Times New Roman" w:hAnsi="Times New Roman" w:eastAsia="Calibri"/>
                <w:b/>
                <w:color w:val="000000"/>
                <w:lang w:val="en-GB"/>
              </w:rPr>
            </w:pPr>
            <w:r>
              <w:rPr>
                <w:rFonts w:ascii="Times New Roman" w:hAnsi="Times New Roman" w:eastAsia="Calibri"/>
                <w:b/>
                <w:color w:val="000000"/>
                <w:lang w:val="en-GB"/>
              </w:rPr>
              <w:t>Graduate Profile</w:t>
            </w:r>
          </w:p>
        </w:tc>
        <w:tc>
          <w:tcPr>
            <w:tcW w:w="3828" w:type="dxa"/>
            <w:shd w:val="clear" w:color="auto" w:fill="E7E6E6"/>
            <w:vAlign w:val="center"/>
          </w:tcPr>
          <w:p>
            <w:pPr>
              <w:autoSpaceDE w:val="0"/>
              <w:spacing w:after="0"/>
              <w:contextualSpacing/>
              <w:jc w:val="center"/>
              <w:rPr>
                <w:rFonts w:ascii="Times New Roman" w:hAnsi="Times New Roman" w:eastAsia="Calibri"/>
                <w:b/>
                <w:color w:val="000000"/>
                <w:lang w:val="en-GB"/>
              </w:rPr>
            </w:pPr>
            <w:r>
              <w:rPr>
                <w:rFonts w:ascii="Times New Roman" w:hAnsi="Times New Roman" w:eastAsia="Calibri"/>
                <w:b/>
                <w:color w:val="000000"/>
                <w:lang w:val="en-GB"/>
              </w:rPr>
              <w:t xml:space="preserve">Description </w:t>
            </w:r>
          </w:p>
          <w:p>
            <w:pPr>
              <w:autoSpaceDE w:val="0"/>
              <w:spacing w:after="0"/>
              <w:contextualSpacing/>
              <w:jc w:val="center"/>
              <w:rPr>
                <w:rFonts w:ascii="Times New Roman" w:hAnsi="Times New Roman" w:eastAsia="Calibri"/>
                <w:b/>
                <w:color w:val="000000"/>
              </w:rPr>
            </w:pPr>
            <w:r>
              <w:rPr>
                <w:rFonts w:ascii="Times New Roman" w:hAnsi="Times New Roman" w:eastAsia="Calibri"/>
                <w:b/>
                <w:color w:val="000000"/>
                <w:lang w:val="en-GB"/>
              </w:rPr>
              <w:t>(Faculty of Education need)</w:t>
            </w:r>
          </w:p>
        </w:tc>
        <w:tc>
          <w:tcPr>
            <w:tcW w:w="3685" w:type="dxa"/>
            <w:shd w:val="clear" w:color="auto" w:fill="E7E6E6"/>
            <w:vAlign w:val="center"/>
          </w:tcPr>
          <w:p>
            <w:pPr>
              <w:autoSpaceDE w:val="0"/>
              <w:spacing w:after="0"/>
              <w:contextualSpacing/>
              <w:jc w:val="center"/>
              <w:rPr>
                <w:rFonts w:ascii="Times New Roman" w:hAnsi="Times New Roman" w:eastAsia="Calibri"/>
                <w:b/>
                <w:color w:val="000000"/>
                <w:lang w:val="en-GB"/>
              </w:rPr>
            </w:pPr>
            <w:r>
              <w:rPr>
                <w:rFonts w:ascii="Times New Roman" w:hAnsi="Times New Roman" w:eastAsia="Calibri"/>
                <w:b/>
                <w:bCs/>
                <w:color w:val="000000"/>
                <w:lang w:val="en-GB"/>
              </w:rPr>
              <w:t>Assessments (the</w:t>
            </w:r>
            <w:r>
              <w:rPr>
                <w:rFonts w:ascii="Times New Roman" w:hAnsi="Times New Roman" w:eastAsia="Calibri"/>
                <w:b/>
                <w:bCs/>
                <w:color w:val="000000"/>
              </w:rPr>
              <w:t xml:space="preserve"> fact</w:t>
            </w:r>
            <w:r>
              <w:rPr>
                <w:rFonts w:ascii="Times New Roman" w:hAnsi="Times New Roman" w:eastAsia="Calibri"/>
                <w:b/>
                <w:bCs/>
                <w:color w:val="00000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0" w:type="dxa"/>
            <w:vAlign w:val="center"/>
          </w:tcPr>
          <w:p>
            <w:pPr>
              <w:autoSpaceDE w:val="0"/>
              <w:spacing w:after="0"/>
              <w:contextualSpacing/>
              <w:jc w:val="center"/>
              <w:rPr>
                <w:rFonts w:ascii="Times New Roman" w:hAnsi="Times New Roman" w:eastAsia="Calibri"/>
                <w:color w:val="000000"/>
                <w:lang w:val="en-GB"/>
              </w:rPr>
            </w:pPr>
            <w:r>
              <w:rPr>
                <w:rFonts w:ascii="Times New Roman" w:hAnsi="Times New Roman" w:eastAsia="Calibri"/>
                <w:color w:val="000000"/>
                <w:lang w:val="en-GB"/>
              </w:rPr>
              <w:t>1</w:t>
            </w:r>
          </w:p>
        </w:tc>
        <w:tc>
          <w:tcPr>
            <w:tcW w:w="1960" w:type="dxa"/>
          </w:tcPr>
          <w:p>
            <w:pPr>
              <w:spacing w:after="0"/>
              <w:ind w:left="102"/>
              <w:contextualSpacing/>
              <w:rPr>
                <w:rFonts w:cs="Times New Roman"/>
                <w:sz w:val="24"/>
                <w:szCs w:val="24"/>
                <w:lang w:val="en-US"/>
              </w:rPr>
            </w:pPr>
            <w:r>
              <w:rPr>
                <w:rFonts w:ascii="Times New Roman" w:hAnsi="Times New Roman" w:eastAsia="Calibri"/>
                <w:color w:val="000000"/>
              </w:rPr>
              <w:t>A Christian teacher (Calling)</w:t>
            </w:r>
          </w:p>
          <w:p>
            <w:pPr>
              <w:autoSpaceDE w:val="0"/>
              <w:spacing w:after="0"/>
              <w:ind w:left="720"/>
              <w:contextualSpacing/>
              <w:jc w:val="both"/>
              <w:rPr>
                <w:rFonts w:ascii="Times New Roman" w:hAnsi="Times New Roman" w:eastAsia="Calibri"/>
                <w:color w:val="000000"/>
              </w:rPr>
            </w:pPr>
          </w:p>
        </w:tc>
        <w:tc>
          <w:tcPr>
            <w:tcW w:w="3828" w:type="dxa"/>
            <w:vAlign w:val="center"/>
          </w:tcPr>
          <w:p>
            <w:pPr>
              <w:numPr>
                <w:ilvl w:val="0"/>
                <w:numId w:val="3"/>
              </w:numPr>
              <w:tabs>
                <w:tab w:val="clear" w:pos="720"/>
              </w:tabs>
              <w:autoSpaceDE w:val="0"/>
              <w:spacing w:after="0"/>
              <w:ind w:left="407" w:right="273" w:hanging="284"/>
              <w:contextualSpacing/>
              <w:jc w:val="both"/>
              <w:rPr>
                <w:rFonts w:ascii="Times New Roman" w:hAnsi="Times New Roman" w:eastAsia="Calibri"/>
                <w:color w:val="000000"/>
              </w:rPr>
            </w:pPr>
            <w:r>
              <w:rPr>
                <w:rFonts w:ascii="Times New Roman" w:hAnsi="Times New Roman" w:eastAsia="Calibri"/>
                <w:color w:val="000000"/>
              </w:rPr>
              <w:t>Seeing the teacher’s role as a “calling”.</w:t>
            </w:r>
          </w:p>
          <w:p>
            <w:pPr>
              <w:numPr>
                <w:ilvl w:val="0"/>
                <w:numId w:val="3"/>
              </w:numPr>
              <w:tabs>
                <w:tab w:val="clear" w:pos="720"/>
              </w:tabs>
              <w:autoSpaceDE w:val="0"/>
              <w:spacing w:after="0"/>
              <w:ind w:left="407" w:right="273" w:hanging="284"/>
              <w:contextualSpacing/>
              <w:jc w:val="both"/>
              <w:rPr>
                <w:rFonts w:ascii="Times New Roman" w:hAnsi="Times New Roman" w:eastAsia="Calibri"/>
                <w:color w:val="000000"/>
              </w:rPr>
            </w:pPr>
            <w:r>
              <w:rPr>
                <w:rFonts w:ascii="Times New Roman" w:hAnsi="Times New Roman" w:eastAsia="Calibri"/>
                <w:color w:val="000000"/>
              </w:rPr>
              <w:t>Having a Christian perspective on education.</w:t>
            </w:r>
          </w:p>
          <w:p>
            <w:pPr>
              <w:numPr>
                <w:ilvl w:val="0"/>
                <w:numId w:val="3"/>
              </w:numPr>
              <w:tabs>
                <w:tab w:val="clear" w:pos="720"/>
              </w:tabs>
              <w:autoSpaceDE w:val="0"/>
              <w:spacing w:after="0"/>
              <w:ind w:left="407" w:right="273" w:hanging="284"/>
              <w:contextualSpacing/>
              <w:jc w:val="both"/>
              <w:rPr>
                <w:rFonts w:ascii="Times New Roman" w:hAnsi="Times New Roman" w:eastAsia="Calibri"/>
                <w:color w:val="000000"/>
              </w:rPr>
            </w:pPr>
            <w:r>
              <w:rPr>
                <w:rFonts w:ascii="Times New Roman" w:hAnsi="Times New Roman" w:eastAsia="Calibri"/>
                <w:color w:val="000000"/>
              </w:rPr>
              <w:t>Having the ability to reflect critically as a lifelong learner in their field.</w:t>
            </w:r>
          </w:p>
        </w:tc>
        <w:tc>
          <w:tcPr>
            <w:tcW w:w="3685" w:type="dxa"/>
            <w:vMerge w:val="restart"/>
            <w:vAlign w:val="center"/>
          </w:tcPr>
          <w:p>
            <w:pPr>
              <w:shd w:val="clear" w:color="auto" w:fill="FFFFFF"/>
              <w:autoSpaceDE w:val="0"/>
              <w:spacing w:after="0"/>
              <w:ind w:left="131" w:right="274"/>
              <w:contextualSpacing/>
              <w:jc w:val="both"/>
              <w:rPr>
                <w:rFonts w:ascii="Times New Roman" w:hAnsi="Times New Roman" w:eastAsia="Arial"/>
                <w:i/>
                <w:iCs/>
                <w:color w:val="000000"/>
                <w:shd w:val="clear" w:color="auto" w:fill="FFFFFF"/>
              </w:rPr>
            </w:pPr>
            <w:r>
              <w:rPr>
                <w:rFonts w:ascii="Times New Roman" w:hAnsi="Times New Roman" w:eastAsia="Arial"/>
                <w:i/>
                <w:iCs/>
                <w:color w:val="000000"/>
                <w:shd w:val="clear" w:color="auto" w:fill="FFFFFF"/>
              </w:rPr>
              <w:t>The students are able to present the learning disabilities in terms of the biblical foundation, variety, causes, and teaching strategies as well as to design the Individualized Educational Program (IED).</w:t>
            </w:r>
          </w:p>
          <w:p>
            <w:pPr>
              <w:autoSpaceDE w:val="0"/>
              <w:spacing w:after="0"/>
              <w:contextualSpacing/>
              <w:jc w:val="both"/>
              <w:rPr>
                <w:rFonts w:ascii="Times New Roman" w:hAnsi="Times New Roman" w:eastAsia="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0" w:type="dxa"/>
            <w:vAlign w:val="center"/>
          </w:tcPr>
          <w:p>
            <w:pPr>
              <w:autoSpaceDE w:val="0"/>
              <w:spacing w:after="0"/>
              <w:contextualSpacing/>
              <w:jc w:val="center"/>
              <w:rPr>
                <w:rFonts w:ascii="Times New Roman" w:hAnsi="Times New Roman" w:eastAsia="Calibri"/>
                <w:color w:val="000000"/>
                <w:lang w:val="en-GB"/>
              </w:rPr>
            </w:pPr>
            <w:r>
              <w:rPr>
                <w:rFonts w:ascii="Times New Roman" w:hAnsi="Times New Roman" w:eastAsia="Calibri"/>
                <w:color w:val="000000"/>
                <w:lang w:val="en-GB"/>
              </w:rPr>
              <w:t>2</w:t>
            </w:r>
          </w:p>
        </w:tc>
        <w:tc>
          <w:tcPr>
            <w:tcW w:w="1960" w:type="dxa"/>
          </w:tcPr>
          <w:p>
            <w:pPr>
              <w:spacing w:after="0"/>
              <w:ind w:left="102"/>
              <w:contextualSpacing/>
              <w:rPr>
                <w:rFonts w:cs="Times New Roman"/>
                <w:sz w:val="24"/>
                <w:szCs w:val="24"/>
                <w:lang w:val="en-US"/>
              </w:rPr>
            </w:pPr>
            <w:r>
              <w:rPr>
                <w:rFonts w:ascii="Times New Roman" w:hAnsi="Times New Roman" w:eastAsia="Calibri"/>
                <w:color w:val="000000"/>
              </w:rPr>
              <w:t>An international standard teacher (Competence)</w:t>
            </w:r>
          </w:p>
          <w:p>
            <w:pPr>
              <w:autoSpaceDE w:val="0"/>
              <w:spacing w:after="0"/>
              <w:ind w:left="720"/>
              <w:contextualSpacing/>
              <w:rPr>
                <w:rFonts w:ascii="Times New Roman" w:hAnsi="Times New Roman"/>
                <w:color w:val="000000"/>
              </w:rPr>
            </w:pPr>
          </w:p>
        </w:tc>
        <w:tc>
          <w:tcPr>
            <w:tcW w:w="3828" w:type="dxa"/>
            <w:vAlign w:val="center"/>
          </w:tcPr>
          <w:p>
            <w:pPr>
              <w:numPr>
                <w:ilvl w:val="0"/>
                <w:numId w:val="4"/>
              </w:numPr>
              <w:tabs>
                <w:tab w:val="clear" w:pos="720"/>
              </w:tabs>
              <w:autoSpaceDE w:val="0"/>
              <w:spacing w:after="0"/>
              <w:ind w:left="407" w:hanging="284"/>
              <w:contextualSpacing/>
              <w:rPr>
                <w:rFonts w:ascii="Times New Roman" w:hAnsi="Times New Roman" w:eastAsia="Calibri"/>
                <w:color w:val="000000"/>
              </w:rPr>
            </w:pPr>
            <w:r>
              <w:rPr>
                <w:rFonts w:ascii="Times New Roman" w:hAnsi="Times New Roman"/>
                <w:color w:val="000000"/>
              </w:rPr>
              <w:t>Having abilities to teach diverse students.</w:t>
            </w:r>
          </w:p>
          <w:p>
            <w:pPr>
              <w:numPr>
                <w:ilvl w:val="0"/>
                <w:numId w:val="4"/>
              </w:numPr>
              <w:tabs>
                <w:tab w:val="clear" w:pos="720"/>
              </w:tabs>
              <w:autoSpaceDE w:val="0"/>
              <w:spacing w:after="0"/>
              <w:ind w:left="407" w:hanging="284"/>
              <w:contextualSpacing/>
              <w:rPr>
                <w:rFonts w:ascii="Times New Roman" w:hAnsi="Times New Roman" w:eastAsia="Calibri"/>
                <w:color w:val="000000"/>
              </w:rPr>
            </w:pPr>
            <w:r>
              <w:rPr>
                <w:rFonts w:ascii="Times New Roman" w:hAnsi="Times New Roman" w:eastAsia="Calibri"/>
                <w:color w:val="000000"/>
              </w:rPr>
              <w:t>Having a holistic understanding of learning.</w:t>
            </w:r>
          </w:p>
          <w:p>
            <w:pPr>
              <w:numPr>
                <w:ilvl w:val="0"/>
                <w:numId w:val="4"/>
              </w:numPr>
              <w:tabs>
                <w:tab w:val="clear" w:pos="720"/>
              </w:tabs>
              <w:autoSpaceDE w:val="0"/>
              <w:spacing w:after="0"/>
              <w:ind w:left="407" w:hanging="284"/>
              <w:contextualSpacing/>
              <w:rPr>
                <w:rFonts w:ascii="Times New Roman" w:hAnsi="Times New Roman" w:eastAsia="Calibri"/>
                <w:i/>
                <w:iCs/>
                <w:color w:val="000000"/>
              </w:rPr>
            </w:pPr>
            <w:r>
              <w:rPr>
                <w:rFonts w:ascii="Times New Roman" w:hAnsi="Times New Roman" w:eastAsia="Calibri"/>
                <w:i/>
                <w:iCs/>
                <w:color w:val="000000"/>
              </w:rPr>
              <w:t>Developing curriculum with the international standards.</w:t>
            </w:r>
          </w:p>
          <w:p>
            <w:pPr>
              <w:numPr>
                <w:ilvl w:val="0"/>
                <w:numId w:val="4"/>
              </w:numPr>
              <w:tabs>
                <w:tab w:val="clear" w:pos="720"/>
              </w:tabs>
              <w:autoSpaceDE w:val="0"/>
              <w:spacing w:after="0"/>
              <w:ind w:left="407" w:hanging="284"/>
              <w:contextualSpacing/>
              <w:rPr>
                <w:rFonts w:ascii="Times New Roman" w:hAnsi="Times New Roman" w:eastAsia="Calibri"/>
                <w:i/>
                <w:iCs/>
                <w:color w:val="000000"/>
              </w:rPr>
            </w:pPr>
            <w:r>
              <w:rPr>
                <w:rFonts w:ascii="Times New Roman" w:hAnsi="Times New Roman" w:eastAsia="Calibri"/>
                <w:i/>
                <w:iCs/>
                <w:color w:val="000000"/>
              </w:rPr>
              <w:t>Mastering learning theories and principles of education.</w:t>
            </w:r>
          </w:p>
          <w:p>
            <w:pPr>
              <w:numPr>
                <w:ilvl w:val="0"/>
                <w:numId w:val="4"/>
              </w:numPr>
              <w:tabs>
                <w:tab w:val="clear" w:pos="720"/>
              </w:tabs>
              <w:autoSpaceDE w:val="0"/>
              <w:spacing w:after="0"/>
              <w:ind w:left="407" w:hanging="284"/>
              <w:contextualSpacing/>
              <w:rPr>
                <w:rFonts w:ascii="Times New Roman" w:hAnsi="Times New Roman" w:eastAsia="Calibri"/>
                <w:color w:val="000000"/>
              </w:rPr>
            </w:pPr>
            <w:r>
              <w:rPr>
                <w:rFonts w:ascii="Times New Roman" w:hAnsi="Times New Roman" w:eastAsia="Calibri"/>
                <w:i/>
                <w:iCs/>
                <w:color w:val="000000"/>
              </w:rPr>
              <w:t>Mastering learning competencies of the subject taught.</w:t>
            </w:r>
          </w:p>
        </w:tc>
        <w:tc>
          <w:tcPr>
            <w:tcW w:w="3685" w:type="dxa"/>
            <w:vMerge w:val="continue"/>
            <w:vAlign w:val="center"/>
          </w:tcPr>
          <w:p>
            <w:pPr>
              <w:spacing w:after="0"/>
              <w:contextualSpacing/>
              <w:rPr>
                <w:rFonts w:ascii="Times New Roman" w:hAnsi="Times New Roman" w:eastAsia="Calibri"/>
                <w:color w:val="000000"/>
                <w:sz w:val="24"/>
                <w:szCs w:val="24"/>
              </w:rPr>
            </w:pPr>
          </w:p>
        </w:tc>
      </w:tr>
    </w:tbl>
    <w:p>
      <w:pPr>
        <w:autoSpaceDE w:val="0"/>
        <w:spacing w:after="0"/>
        <w:contextualSpacing/>
        <w:jc w:val="both"/>
        <w:rPr>
          <w:rFonts w:ascii="Times New Roman" w:hAnsi="Times New Roman"/>
          <w:color w:val="000000"/>
          <w:lang w:val="en-GB"/>
        </w:rPr>
      </w:pPr>
      <w:r>
        <w:rPr>
          <w:rFonts w:ascii="Times New Roman" w:hAnsi="Times New Roman"/>
          <w:color w:val="000000"/>
        </w:rPr>
        <w:t xml:space="preserve"> Table 1. Graduate Profile and Assessments</w:t>
      </w:r>
    </w:p>
    <w:p>
      <w:pPr>
        <w:autoSpaceDE w:val="0"/>
        <w:spacing w:after="0"/>
        <w:contextualSpacing/>
        <w:jc w:val="both"/>
        <w:rPr>
          <w:rFonts w:ascii="Times New Roman" w:hAnsi="Times New Roman"/>
          <w:color w:val="000000"/>
          <w:lang w:val="en-GB"/>
        </w:rPr>
      </w:pPr>
    </w:p>
    <w:p>
      <w:pPr>
        <w:autoSpaceDE w:val="0"/>
        <w:ind w:firstLine="720"/>
        <w:jc w:val="both"/>
        <w:rPr>
          <w:rFonts w:ascii="Times New Roman" w:hAnsi="Times New Roman"/>
          <w:color w:val="000000"/>
          <w:shd w:val="clear" w:color="auto" w:fill="FFFFFF"/>
          <w:lang w:val="en-GB"/>
        </w:rPr>
      </w:pPr>
    </w:p>
    <w:p>
      <w:pPr>
        <w:autoSpaceDE w:val="0"/>
        <w:spacing w:after="0"/>
        <w:ind w:firstLine="720"/>
        <w:contextualSpacing/>
        <w:jc w:val="both"/>
        <w:rPr>
          <w:rFonts w:ascii="Times New Roman" w:hAnsi="Times New Roman" w:cs="Times New Roman"/>
          <w:lang w:val="en-GB"/>
        </w:rPr>
      </w:pPr>
      <w:r>
        <w:rPr>
          <w:rFonts w:ascii="Times New Roman" w:hAnsi="Times New Roman"/>
          <w:color w:val="000000"/>
          <w:shd w:val="clear" w:color="auto" w:fill="FFFFFF"/>
          <w:lang w:val="en-GB"/>
        </w:rPr>
        <w:t xml:space="preserve">A field experience program is an alternative program to solve the gap problem between the Graduate Profile (need) and the fact (assessments). </w:t>
      </w:r>
      <w:r>
        <w:rPr>
          <w:rFonts w:ascii="Times New Roman" w:hAnsi="Times New Roman" w:cs="Times New Roman"/>
          <w:lang w:val="en-GB"/>
        </w:rPr>
        <w:t>Field experience is a unique learning experience</w:t>
      </w:r>
      <w:r>
        <w:rPr>
          <w:rFonts w:hint="default" w:ascii="Times New Roman" w:hAnsi="Times New Roman" w:cs="Times New Roman"/>
          <w:lang w:val="en-GB"/>
        </w:rPr>
        <w:t>. T</w:t>
      </w:r>
      <w:r>
        <w:rPr>
          <w:rFonts w:ascii="Times New Roman" w:hAnsi="Times New Roman" w:cs="Times New Roman"/>
          <w:lang w:val="en-GB"/>
        </w:rPr>
        <w:t xml:space="preserve">his uniqueness </w:t>
      </w:r>
      <w:r>
        <w:rPr>
          <w:rFonts w:hint="default" w:ascii="Times New Roman" w:hAnsi="Times New Roman" w:cs="Times New Roman"/>
          <w:lang w:val="en-GB"/>
        </w:rPr>
        <w:t xml:space="preserve">does </w:t>
      </w:r>
      <w:r>
        <w:rPr>
          <w:rFonts w:ascii="Times New Roman" w:hAnsi="Times New Roman" w:cs="Times New Roman"/>
          <w:lang w:val="en-GB"/>
        </w:rPr>
        <w:t>not only provide a special opportunity for professional development</w:t>
      </w:r>
      <w:r>
        <w:rPr>
          <w:rFonts w:hint="default" w:ascii="Times New Roman" w:hAnsi="Times New Roman" w:cs="Times New Roman"/>
          <w:lang w:val="en-GB"/>
        </w:rPr>
        <w:t>,</w:t>
      </w:r>
      <w:r>
        <w:rPr>
          <w:rFonts w:ascii="Times New Roman" w:hAnsi="Times New Roman" w:cs="Times New Roman"/>
          <w:lang w:val="en-GB"/>
        </w:rPr>
        <w:t xml:space="preserve"> but also presents a number of challenges tone accustomed to the "safety" of a classroom. Field experience occurs in a unique</w:t>
      </w:r>
      <w:r>
        <w:rPr>
          <w:rFonts w:hint="default" w:ascii="Times New Roman" w:hAnsi="Times New Roman" w:cs="Times New Roman"/>
          <w:lang w:val="en-GB"/>
        </w:rPr>
        <w:t xml:space="preserve"> and</w:t>
      </w:r>
      <w:r>
        <w:rPr>
          <w:rFonts w:ascii="Times New Roman" w:hAnsi="Times New Roman" w:cs="Times New Roman"/>
          <w:lang w:val="en-GB"/>
        </w:rPr>
        <w:t xml:space="preserve"> nonclassroom learning environment</w:t>
      </w:r>
      <w:r>
        <w:rPr>
          <w:rFonts w:hint="default" w:ascii="Times New Roman" w:hAnsi="Times New Roman" w:cs="Times New Roman"/>
          <w:lang w:val="en-GB"/>
        </w:rPr>
        <w:t>. Then, it</w:t>
      </w:r>
      <w:r>
        <w:rPr>
          <w:rFonts w:ascii="Times New Roman" w:hAnsi="Times New Roman" w:cs="Times New Roman"/>
          <w:lang w:val="en-GB"/>
        </w:rPr>
        <w:t xml:space="preserve"> employs unique performance requirements targeting application rather than the acquisition of knowledge and skills</w:t>
      </w:r>
      <w:r>
        <w:rPr>
          <w:rFonts w:hint="default" w:ascii="Times New Roman" w:hAnsi="Times New Roman" w:cs="Times New Roman"/>
          <w:lang w:val="en-GB"/>
        </w:rPr>
        <w:t>. Next, it</w:t>
      </w:r>
      <w:r>
        <w:rPr>
          <w:rFonts w:ascii="Times New Roman" w:hAnsi="Times New Roman" w:cs="Times New Roman"/>
          <w:lang w:val="en-GB"/>
        </w:rPr>
        <w:t xml:space="preserve"> presents unique challenges to and opportunities for professional growth and development of one professional's identity </w:t>
      </w:r>
      <w:r>
        <w:rPr>
          <w:rFonts w:ascii="Times New Roman" w:hAnsi="Times New Roman" w:cs="Times New Roman"/>
          <w:lang w:val="en-GB"/>
        </w:rPr>
        <w:fldChar w:fldCharType="begin"/>
      </w:r>
      <w:r>
        <w:rPr>
          <w:rFonts w:ascii="Times New Roman" w:hAnsi="Times New Roman" w:cs="Times New Roman"/>
          <w:lang w:val="en-GB"/>
        </w:rPr>
        <w:instrText xml:space="preserve"> ADDIN ZOTERO_ITEM CSL_CITATION {"citationID":"otCMa2t1","properties":{"formattedCitation":"(Zhang &amp; Parsons, 2015, p. 2)","plainCitation":"(Zhang &amp; Parsons, 2015, p. 2)","noteIndex":0},"citationItems":[{"id":1290,"uris":["http://zotero.org/users/local/T6D5QgKM/items/9N2S9U4L"],"uri":["http://zotero.org/users/local/T6D5QgKM/items/9N2S9U4L"],"itemData":{"id":1290,"type":"book","abstract":"A blueprint for doing clinical work in field experience, Field Experience: Transitioning from Student to Professional aids students in developing their professional identity on their journey toward becoming a counselor. Authors Naijian Zhang and Richard D. Parsons help students integrate the knowledge they learn across the curriculum by presenting a roadmap of how to start, navigate, and finish a practicum or internship. Throughout the book, coverage of CACREP standards, case illustrations, exercises, and real-life examples create an accessible overview of the entire transitioning process. Field Experience is part of the SAGE Counseling and Professional Identity Series, which targets specific competencies identified by CACREP (Council for Accreditation of Counseling and Related Programs).","event-place":"Singapore","ISBN":"978-1-4833-8341-5","language":"en","note":"Google-Books-ID: BOyeBgAAQBAJ","number-of-pages":"417","publisher":"SAGE Publications","publisher-place":"Singapore","source":"Google Books","title":"Field Experience: Transitioning From Student to Professional","title-short":"Field Experience","author":[{"family":"Zhang","given":"Naijian"},{"family":"Parsons","given":"Richard D."}],"issued":{"date-parts":[["2015",2,11]]}},"locator":"2"}],"schema":"https://github.com/citation-style-language/schema/raw/master/csl-citation.json"} </w:instrText>
      </w:r>
      <w:r>
        <w:rPr>
          <w:rFonts w:ascii="Times New Roman" w:hAnsi="Times New Roman" w:cs="Times New Roman"/>
          <w:lang w:val="en-GB"/>
        </w:rPr>
        <w:fldChar w:fldCharType="separate"/>
      </w:r>
      <w:r>
        <w:rPr>
          <w:rFonts w:ascii="Times New Roman" w:hAnsi="Times New Roman" w:cs="Times New Roman"/>
        </w:rPr>
        <w:t>(Zhang &amp; Parsons, 2015, p. 2)</w:t>
      </w:r>
      <w:r>
        <w:rPr>
          <w:rFonts w:ascii="Times New Roman" w:hAnsi="Times New Roman" w:cs="Times New Roman"/>
          <w:lang w:val="en-GB"/>
        </w:rPr>
        <w:fldChar w:fldCharType="end"/>
      </w:r>
      <w:r>
        <w:rPr>
          <w:rFonts w:ascii="Times New Roman" w:hAnsi="Times New Roman" w:cs="Times New Roman"/>
          <w:lang w:val="en-GB"/>
        </w:rPr>
        <w:t>. Here, it is clearly stated that a field experience program will help the teacher students to have an opportunity to develop not only their cognitive and skills but also their affection through professional growth and professional identity.</w:t>
      </w:r>
    </w:p>
    <w:p>
      <w:pPr>
        <w:autoSpaceDE w:val="0"/>
        <w:spacing w:after="0"/>
        <w:ind w:firstLine="567"/>
        <w:contextualSpacing/>
        <w:jc w:val="both"/>
        <w:rPr>
          <w:rFonts w:ascii="Times New Roman" w:hAnsi="Times New Roman" w:cs="Times New Roman"/>
          <w:lang w:val="en-GB"/>
        </w:rPr>
      </w:pPr>
      <w:r>
        <w:rPr>
          <w:rFonts w:ascii="Times New Roman" w:hAnsi="Times New Roman" w:cs="Times New Roman"/>
          <w:lang w:val="en-GB"/>
        </w:rPr>
        <w:t>As a summary, this paper discusses the gap between the Graduate Profile and the assessments as a research problem. Moreover, a field experience program is planned to be the solution to the research problem. Therefore, the paper's objective is to explain the importance of a field experience program to teach the TCWDA course in the Faculty of Education. The field experience program is expected to be written explicitly in the syllabus. A syllabus is a document that provides teachers with a rationale and outline of the school subject in question</w:t>
      </w:r>
      <w:r>
        <w:rPr>
          <w:rFonts w:hint="default" w:ascii="Times New Roman" w:hAnsi="Times New Roman" w:cs="Times New Roman"/>
          <w:lang w:val="en-GB"/>
        </w:rPr>
        <w:t>. It is</w:t>
      </w:r>
      <w:r>
        <w:rPr>
          <w:rFonts w:ascii="Times New Roman" w:hAnsi="Times New Roman" w:cs="Times New Roman"/>
          <w:lang w:val="en-GB"/>
        </w:rPr>
        <w:t xml:space="preserve"> an overview and specification of preferred expected content to be taught and learned</w:t>
      </w:r>
      <w:r>
        <w:rPr>
          <w:rFonts w:hint="default" w:ascii="Times New Roman" w:hAnsi="Times New Roman" w:cs="Times New Roman"/>
          <w:lang w:val="en-GB"/>
        </w:rPr>
        <w:t>. It is also</w:t>
      </w:r>
      <w:r>
        <w:rPr>
          <w:rFonts w:ascii="Times New Roman" w:hAnsi="Times New Roman" w:cs="Times New Roman"/>
          <w:lang w:val="en-GB"/>
        </w:rPr>
        <w:t xml:space="preserve"> a description of operational ways of appraising standards for gauging student performance. The expected learning (s) can and are stated in various forms such as key knowledge and understandings, skills, competencies, processes, as well as experiences </w:t>
      </w:r>
      <w:r>
        <w:rPr>
          <w:rFonts w:ascii="Times New Roman" w:hAnsi="Times New Roman" w:cs="Times New Roman"/>
          <w:lang w:val="en-GB"/>
        </w:rPr>
        <w:fldChar w:fldCharType="begin"/>
      </w:r>
      <w:r>
        <w:rPr>
          <w:rFonts w:ascii="Times New Roman" w:hAnsi="Times New Roman" w:cs="Times New Roman"/>
          <w:lang w:val="en-GB"/>
        </w:rPr>
        <w:instrText xml:space="preserve"> ADDIN ZOTERO_ITEM CSL_CITATION {"citationID":"Xo4uyPr2","properties":{"formattedCitation":"(Luke et al., 2013, p. 10)","plainCitation":"(Luke et al., 2013, p. 10)","noteIndex":0},"citationItems":[{"id":1536,"uris":["http://zotero.org/users/local/T6D5QgKM/items/229DS7KZ"],"uri":["http://zotero.org/users/local/T6D5QgKM/items/229DS7KZ"],"itemData":{"id":1536,"type":"book","abstract":"Curriculum scholars and teachers working for social justice and equity have been caught up in acrimonious and polarizing political debates over content, ideology, and disciplinary knowledge. At the forefront in cutting through these debates and addressing the practical questions involved, this book is distinctive in looking to the technical form of the curriculum rather than its content for solutions. The editors and contributors, all leading international scholars, advance a unified, principled approach to the design of curriculum and syllabus documents that aims for high quality/high equity educational outcomes and enhances teacher professionalism with appropriate system prescription. Stressing local curriculum development capacity and teacher professional responses to specific community and student contexts, this useful, practical primer introduces and unpacks definitions of curriculum, syllabus, the school subject, and informed professionalism; presents key principles of design; discusses a range of approaches; and offers clear, realistic guidelines for the tasks of writing curriculum documents and designing official syllabi and professional development programs at system and school levels. Providing a foundational structure for syllabus design work, Curriculum, Syllabus Design, and Equity is relevant for teachers, teacher educators, and curriculum policy workers everywhere who are engaged in the real work of curriculum writing and implementation.","event-place":"New York","ISBN":"978-0-415-80319-9","language":"en","note":"Google-Books-ID: 5OKHvbBxU6IC","number-of-pages":"182","publisher":"Routledge","publisher-place":"New York","source":"Google Books","title":"Curriculum, Syllabus Design, and Equity: A Primer and Model","title-short":"Curriculum, Syllabus Design, and Equity","author":[{"family":"Luke","given":"Allan"},{"family":"Woods","given":"Annette"},{"family":"Weir","given":"Katie"}],"issued":{"date-parts":[["2013"]]}},"locator":"10"}],"schema":"https://github.com/citation-style-language/schema/raw/master/csl-citation.json"} </w:instrText>
      </w:r>
      <w:r>
        <w:rPr>
          <w:rFonts w:ascii="Times New Roman" w:hAnsi="Times New Roman" w:cs="Times New Roman"/>
          <w:lang w:val="en-GB"/>
        </w:rPr>
        <w:fldChar w:fldCharType="separate"/>
      </w:r>
      <w:r>
        <w:rPr>
          <w:rFonts w:ascii="Times New Roman" w:hAnsi="Times New Roman" w:cs="Times New Roman"/>
        </w:rPr>
        <w:t>(Luke et al., 2013, p. 10)</w:t>
      </w:r>
      <w:r>
        <w:rPr>
          <w:rFonts w:ascii="Times New Roman" w:hAnsi="Times New Roman" w:cs="Times New Roman"/>
          <w:lang w:val="en-GB"/>
        </w:rPr>
        <w:fldChar w:fldCharType="end"/>
      </w:r>
      <w:r>
        <w:rPr>
          <w:rFonts w:ascii="Times New Roman" w:hAnsi="Times New Roman" w:cs="Times New Roman"/>
          <w:lang w:val="en-GB"/>
        </w:rPr>
        <w:t xml:space="preserve">. In other words, the renewed TCWDA course syllabus will help the teacher students to develop themselves holistically in understanding and dealing with the diverse learners directly. By doing so, this research will give a contribution to the Faculty of Education for its linearity of the course program with its vision mission.  </w:t>
      </w:r>
    </w:p>
    <w:p>
      <w:pPr>
        <w:autoSpaceDE w:val="0"/>
        <w:contextualSpacing/>
        <w:jc w:val="both"/>
        <w:rPr>
          <w:rFonts w:ascii="Times New Roman" w:hAnsi="Times New Roman" w:eastAsia="Calibri"/>
          <w:bCs/>
          <w:color w:val="000000"/>
          <w:highlight w:val="green"/>
        </w:rPr>
      </w:pPr>
    </w:p>
    <w:p>
      <w:pPr>
        <w:spacing w:after="0" w:line="360" w:lineRule="auto"/>
        <w:rPr>
          <w:rFonts w:ascii="Times New Roman" w:hAnsi="Times New Roman" w:cs="Times New Roman"/>
          <w:b/>
          <w:lang w:val="en-US"/>
        </w:rPr>
      </w:pPr>
      <w:r>
        <w:rPr>
          <w:rFonts w:ascii="Times New Roman" w:hAnsi="Times New Roman" w:cs="Times New Roman"/>
          <w:b/>
          <w:lang w:val="en-US"/>
        </w:rPr>
        <w:t xml:space="preserve">METHOD </w:t>
      </w:r>
    </w:p>
    <w:p>
      <w:pPr>
        <w:spacing w:after="0"/>
        <w:ind w:firstLine="567"/>
        <w:contextualSpacing/>
        <w:jc w:val="both"/>
        <w:rPr>
          <w:rFonts w:ascii="Times New Roman" w:hAnsi="Times New Roman" w:cs="Times New Roman"/>
          <w:lang w:val="en-GB"/>
        </w:rPr>
      </w:pPr>
      <w:r>
        <w:rPr>
          <w:rFonts w:ascii="Times New Roman" w:hAnsi="Times New Roman" w:cs="Times New Roman"/>
          <w:lang w:val="en-GB"/>
        </w:rPr>
        <w:t xml:space="preserve">This research is a case study in the Faculty of Education located in Tangerang, Indonesia. Burke and Christensen argued that a case </w:t>
      </w:r>
      <w:r>
        <w:rPr>
          <w:rFonts w:hint="default" w:ascii="Times New Roman" w:hAnsi="Times New Roman" w:cs="Times New Roman"/>
          <w:lang w:val="en-GB"/>
        </w:rPr>
        <w:t>was</w:t>
      </w:r>
      <w:r>
        <w:rPr>
          <w:rFonts w:ascii="Times New Roman" w:hAnsi="Times New Roman" w:cs="Times New Roman"/>
          <w:lang w:val="en-GB"/>
        </w:rPr>
        <w:t xml:space="preserve"> a bounded system. Therefore, it studie</w:t>
      </w:r>
      <w:r>
        <w:rPr>
          <w:rFonts w:hint="default" w:ascii="Times New Roman" w:hAnsi="Times New Roman" w:cs="Times New Roman"/>
          <w:lang w:val="en-GB"/>
        </w:rPr>
        <w:t>d</w:t>
      </w:r>
      <w:r>
        <w:rPr>
          <w:rFonts w:ascii="Times New Roman" w:hAnsi="Times New Roman" w:cs="Times New Roman"/>
          <w:lang w:val="en-GB"/>
        </w:rPr>
        <w:t xml:space="preserve"> how the system operate</w:t>
      </w:r>
      <w:r>
        <w:rPr>
          <w:rFonts w:hint="default" w:ascii="Times New Roman" w:hAnsi="Times New Roman" w:cs="Times New Roman"/>
          <w:lang w:val="en-GB"/>
        </w:rPr>
        <w:t>d</w:t>
      </w:r>
      <w:r>
        <w:rPr>
          <w:rFonts w:ascii="Times New Roman" w:hAnsi="Times New Roman" w:cs="Times New Roman"/>
          <w:lang w:val="en-GB"/>
        </w:rPr>
        <w:t>. It g</w:t>
      </w:r>
      <w:r>
        <w:rPr>
          <w:rFonts w:hint="default" w:ascii="Times New Roman" w:hAnsi="Times New Roman" w:cs="Times New Roman"/>
          <w:lang w:val="en-GB"/>
        </w:rPr>
        <w:t>ave</w:t>
      </w:r>
      <w:r>
        <w:rPr>
          <w:rFonts w:ascii="Times New Roman" w:hAnsi="Times New Roman" w:cs="Times New Roman"/>
          <w:lang w:val="en-GB"/>
        </w:rPr>
        <w:t xml:space="preserve"> a holistic description. Almost all systems </w:t>
      </w:r>
      <w:r>
        <w:rPr>
          <w:rFonts w:hint="default" w:ascii="Times New Roman" w:hAnsi="Times New Roman" w:cs="Times New Roman"/>
          <w:lang w:val="en-GB"/>
        </w:rPr>
        <w:t>were</w:t>
      </w:r>
      <w:r>
        <w:rPr>
          <w:rFonts w:ascii="Times New Roman" w:hAnsi="Times New Roman" w:cs="Times New Roman"/>
          <w:lang w:val="en-GB"/>
        </w:rPr>
        <w:t xml:space="preserve"> made up of components or parts, and it </w:t>
      </w:r>
      <w:r>
        <w:rPr>
          <w:rFonts w:hint="default" w:ascii="Times New Roman" w:hAnsi="Times New Roman" w:cs="Times New Roman"/>
          <w:lang w:val="en-GB"/>
        </w:rPr>
        <w:t>was</w:t>
      </w:r>
      <w:r>
        <w:rPr>
          <w:rFonts w:ascii="Times New Roman" w:hAnsi="Times New Roman" w:cs="Times New Roman"/>
          <w:lang w:val="en-GB"/>
        </w:rPr>
        <w:t xml:space="preserve"> important to understand how the parts operate</w:t>
      </w:r>
      <w:r>
        <w:rPr>
          <w:rFonts w:hint="default" w:ascii="Times New Roman" w:hAnsi="Times New Roman" w:cs="Times New Roman"/>
          <w:lang w:val="en-GB"/>
        </w:rPr>
        <w:t>d</w:t>
      </w:r>
      <w:r>
        <w:rPr>
          <w:rFonts w:ascii="Times New Roman" w:hAnsi="Times New Roman" w:cs="Times New Roman"/>
          <w:lang w:val="en-GB"/>
        </w:rPr>
        <w:t xml:space="preserve"> together to understand the system. It </w:t>
      </w:r>
      <w:r>
        <w:rPr>
          <w:rFonts w:hint="default" w:ascii="Times New Roman" w:hAnsi="Times New Roman" w:cs="Times New Roman"/>
          <w:lang w:val="en-GB"/>
        </w:rPr>
        <w:t>was</w:t>
      </w:r>
      <w:r>
        <w:rPr>
          <w:rFonts w:ascii="Times New Roman" w:hAnsi="Times New Roman" w:cs="Times New Roman"/>
          <w:lang w:val="en-GB"/>
        </w:rPr>
        <w:t xml:space="preserve"> an intrinsic case study to understand a specific case as a holistic entity </w:t>
      </w:r>
      <w:r>
        <w:rPr>
          <w:rFonts w:ascii="Times New Roman" w:hAnsi="Times New Roman" w:cs="Times New Roman"/>
        </w:rPr>
        <w:fldChar w:fldCharType="begin"/>
      </w:r>
      <w:r>
        <w:rPr>
          <w:rFonts w:ascii="Times New Roman" w:hAnsi="Times New Roman" w:cs="Times New Roman"/>
        </w:rPr>
        <w:instrText xml:space="preserve"> ADDIN ZOTERO_ITEM CSL_CITATION {"citationID":"BHbOmZHJ","properties":{"formattedCitation":"(Johnson &amp; Christensen, 2019)","plainCitation":"(Johnson &amp; Christensen, 2019)","noteIndex":0},"citationItems":[{"id":1538,"uris":["http://zotero.org/users/local/T6D5QgKM/items/USPZ4CVG"],"uri":["http://zotero.org/users/local/T6D5QgKM/items/USPZ4CVG"],"itemData":{"id":1538,"type":"book","abstract":"Educational Research: Quantitative, Qualitative, and Mixed Approaches by R. Burke Johnson and Larry Christensen offers a comprehensive, easily digestible introduction to research methods for undergraduate and graduate students. Readers will develop an understanding of the multiple research methods and strategies used in education and related fields, including how to read and critically evaluate published research and how to write a proposal, construct a questionnaire, and conduct an empirical research study on their own. The Seventh Edition maintains the features that made this book a best-seller, including attention-grabbing chapter-opening vignettes, lively examples that engage student interest, a conversational and friendly writing style, and more. With the support of this highly readable text, readers will transform into critical consumers and users of research.  FREE DIGITAL TOOLS INCLUDED WITH THIS TEXT  SAGE edge gives instructors and students the edge they need to succeed with an array of teaching and learning tools in one easy-to-navigate website. Learn more: edge.sagepub.com/rbjohnson7e","event-place":"United States of America","ISBN":"978-1-5443-3781-4","language":"en","note":"Google-Books-ID: VdWuDwAAQBAJ","number-of-pages":"837","publisher":"SAGE Publications","publisher-place":"United States of America","source":"Google Books","title":"Educational Research: Quantitative, Qualitative, and Mixed Approaches","title-short":"Educational Research","author":[{"family":"Johnson","given":"R. Burke"},{"family":"Christensen","given":"Larry"}],"issued":{"date-parts":[["2019",8,29]]}}}],"schema":"https://github.com/citation-style-language/schema/raw/master/csl-citation.json"}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(Johnson &amp; Christensen, 2019)</w:t>
      </w:r>
      <w:r>
        <w:rPr>
          <w:rFonts w:ascii="Times New Roman" w:hAnsi="Times New Roman" w:cs="Times New Roman"/>
        </w:rPr>
        <w:fldChar w:fldCharType="end"/>
      </w:r>
      <w:r>
        <w:rPr>
          <w:rFonts w:ascii="Times New Roman" w:hAnsi="Times New Roman" w:cs="Times New Roman"/>
          <w:lang w:val="en-GB"/>
        </w:rPr>
        <w:t>. So, this research will try to see how the TCWDA course syllabus can fulfill the Graduate Profile of the Faculty of Education.</w:t>
      </w:r>
    </w:p>
    <w:p>
      <w:pPr>
        <w:spacing w:after="0"/>
        <w:ind w:firstLine="567"/>
        <w:contextualSpacing/>
        <w:jc w:val="both"/>
        <w:rPr>
          <w:rFonts w:ascii="Times New Roman" w:hAnsi="Times New Roman" w:cs="Times New Roman"/>
          <w:lang w:val="en-GB"/>
        </w:rPr>
      </w:pPr>
      <w:r>
        <w:rPr>
          <w:rFonts w:ascii="Times New Roman" w:hAnsi="Times New Roman" w:cs="Times New Roman"/>
          <w:lang w:val="en-GB"/>
        </w:rPr>
        <w:t xml:space="preserve">The primary data was gathered from the TCWDA course syllabus (2020-2021). The secondary data was from the teacher students of cohort 2016-2017’s observations </w:t>
      </w:r>
      <w:r>
        <w:rPr>
          <w:rFonts w:hint="default" w:ascii="Times New Roman" w:hAnsi="Times New Roman" w:cs="Times New Roman"/>
          <w:lang w:val="en-GB"/>
        </w:rPr>
        <w:t xml:space="preserve">during the academic year 2019-2020 </w:t>
      </w:r>
      <w:r>
        <w:rPr>
          <w:rFonts w:ascii="Times New Roman" w:hAnsi="Times New Roman" w:cs="Times New Roman"/>
          <w:lang w:val="en-GB"/>
        </w:rPr>
        <w:t>and the TCWDA lecturer’s interview</w:t>
      </w:r>
      <w:r>
        <w:rPr>
          <w:rFonts w:hint="default" w:ascii="Times New Roman" w:hAnsi="Times New Roman" w:cs="Times New Roman"/>
          <w:lang w:val="en-GB"/>
        </w:rPr>
        <w:t xml:space="preserve"> in July 2020</w:t>
      </w:r>
      <w:r>
        <w:rPr>
          <w:rFonts w:ascii="Times New Roman" w:hAnsi="Times New Roman" w:cs="Times New Roman"/>
          <w:lang w:val="en-GB"/>
        </w:rPr>
        <w:t xml:space="preserve">. The three data gathered were used to make a triangulation.  </w:t>
      </w:r>
      <w:r>
        <w:rPr>
          <w:rFonts w:ascii="Times New Roman" w:hAnsi="Times New Roman" w:cs="Times New Roman"/>
          <w:color w:val="000000"/>
          <w:lang w:val="en-US"/>
        </w:rPr>
        <w:t xml:space="preserve">It is a method used by qualitative researchers to check and establish validity in their studies. Data triangulation involves the use of different sources of data/information. </w:t>
      </w:r>
      <w:r>
        <w:rPr>
          <w:rFonts w:ascii="Times New Roman" w:hAnsi="Times New Roman" w:cs="Times New Roman"/>
        </w:rPr>
        <w:fldChar w:fldCharType="begin"/>
      </w:r>
      <w:r>
        <w:rPr>
          <w:rFonts w:ascii="Times New Roman" w:hAnsi="Times New Roman" w:cs="Times New Roman"/>
        </w:rPr>
        <w:instrText xml:space="preserve"> ADDIN ZOTERO_ITEM CSL_CITATION {"citationID":"PuS3bPGN","properties":{"formattedCitation":"(Guion, 2002, p. 3)","plainCitation":"(Guion, 2002, p. 3)","noteIndex":0},"citationItems":[{"id":1542,"uris":["http://zotero.org/users/local/T6D5QgKM/items/8MPJ7H3L"],"uri":["http://zotero.org/users/local/T6D5QgKM/items/8MPJ7H3L"],"itemData":{"id":1542,"type":"article-journal","abstract":"This publication is FCS6014, one of a series of the Department of Family, Youth and Community Sciences, Florida Cooperative Extension Service, Institute of Food and Agricultural Sciences, University of Florida. Publication: September 2002.","container-title":"EDIS","DOI":"10.32473/edis-fy394-2002","journalAbbreviation":"EDIS","source":"ResearchGate","title":"Triangulation: Establishing the Validity of Qualitative Studies1","title-short":"Triangulation","volume":"2002","author":[{"family":"Guion","given":"Lisa"}],"issued":{"date-parts":[["2002",1,1]]}},"locator":"3"}],"schema":"https://github.com/citation-style-language/schema/raw/master/csl-citation.json"}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(Guion, 2002, p. 3)</w:t>
      </w:r>
      <w:r>
        <w:rPr>
          <w:rFonts w:ascii="Times New Roman" w:hAnsi="Times New Roman" w:cs="Times New Roman"/>
        </w:rPr>
        <w:fldChar w:fldCharType="end"/>
      </w:r>
      <w:r>
        <w:rPr>
          <w:rFonts w:ascii="Times New Roman" w:hAnsi="Times New Roman" w:cs="Times New Roman"/>
          <w:lang w:val="en-GB"/>
        </w:rPr>
        <w:t>. All the data were analyzed descriptively. The three data were compared to each other to see the similarities and the differences.</w:t>
      </w:r>
      <w:r>
        <w:rPr>
          <w:rFonts w:ascii="Times New Roman" w:hAnsi="Times New Roman" w:cs="Times New Roman"/>
        </w:rPr>
        <w:t xml:space="preserve"> </w:t>
      </w:r>
    </w:p>
    <w:p>
      <w:pPr>
        <w:autoSpaceDE w:val="0"/>
        <w:spacing w:after="0"/>
        <w:ind w:firstLine="72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Below are the instruments to analyze the document, interview the lecturer, and observe the students.</w:t>
      </w:r>
    </w:p>
    <w:p>
      <w:pPr>
        <w:autoSpaceDE w:val="0"/>
        <w:spacing w:after="0"/>
        <w:ind w:firstLine="720"/>
        <w:contextualSpacing/>
        <w:jc w:val="both"/>
        <w:rPr>
          <w:rFonts w:ascii="Times New Roman" w:hAnsi="Times New Roman" w:eastAsia="Calibri" w:cs="Times New Roman"/>
          <w:color w:val="000000"/>
          <w:lang w:val="en-US"/>
        </w:rPr>
      </w:pPr>
    </w:p>
    <w:p>
      <w:pPr>
        <w:autoSpaceDE w:val="0"/>
        <w:spacing w:after="0"/>
        <w:ind w:firstLine="720"/>
        <w:contextualSpacing/>
        <w:jc w:val="both"/>
        <w:rPr>
          <w:rFonts w:ascii="Times New Roman" w:hAnsi="Times New Roman" w:eastAsia="Calibri" w:cs="Times New Roman"/>
          <w:color w:val="000000"/>
          <w:lang w:val="en-US"/>
        </w:rPr>
      </w:pPr>
    </w:p>
    <w:p>
      <w:pPr>
        <w:autoSpaceDE w:val="0"/>
        <w:spacing w:after="0"/>
        <w:ind w:firstLine="720"/>
        <w:contextualSpacing/>
        <w:jc w:val="both"/>
        <w:rPr>
          <w:rFonts w:ascii="Times New Roman" w:hAnsi="Times New Roman" w:eastAsia="Calibri" w:cs="Times New Roman"/>
          <w:color w:val="000000"/>
          <w:lang w:val="en-US"/>
        </w:rPr>
      </w:pPr>
    </w:p>
    <w:p>
      <w:pPr>
        <w:autoSpaceDE w:val="0"/>
        <w:spacing w:after="0"/>
        <w:ind w:firstLine="720"/>
        <w:contextualSpacing/>
        <w:jc w:val="both"/>
        <w:rPr>
          <w:rFonts w:ascii="Times New Roman" w:hAnsi="Times New Roman" w:eastAsia="Calibri" w:cs="Times New Roman"/>
          <w:color w:val="000000"/>
          <w:lang w:val="en-US"/>
        </w:rPr>
      </w:pPr>
    </w:p>
    <w:p>
      <w:pPr>
        <w:autoSpaceDE w:val="0"/>
        <w:spacing w:after="0"/>
        <w:ind w:firstLine="720"/>
        <w:contextualSpacing/>
        <w:jc w:val="both"/>
        <w:rPr>
          <w:rFonts w:ascii="Times New Roman" w:hAnsi="Times New Roman" w:eastAsia="Calibri" w:cs="Times New Roman"/>
          <w:color w:val="000000"/>
          <w:lang w:val="en-US"/>
        </w:rPr>
      </w:pPr>
    </w:p>
    <w:p>
      <w:pPr>
        <w:autoSpaceDE w:val="0"/>
        <w:spacing w:after="0"/>
        <w:ind w:firstLine="720"/>
        <w:contextualSpacing/>
        <w:jc w:val="both"/>
        <w:rPr>
          <w:rFonts w:ascii="Times New Roman" w:hAnsi="Times New Roman" w:eastAsia="Calibri" w:cs="Times New Roman"/>
          <w:color w:val="000000"/>
          <w:lang w:val="en-US"/>
        </w:rPr>
      </w:pPr>
    </w:p>
    <w:p>
      <w:pPr>
        <w:autoSpaceDE w:val="0"/>
        <w:spacing w:after="0"/>
        <w:ind w:firstLine="720"/>
        <w:contextualSpacing/>
        <w:jc w:val="both"/>
        <w:rPr>
          <w:rFonts w:ascii="Times New Roman" w:hAnsi="Times New Roman" w:eastAsia="Calibri" w:cs="Times New Roman"/>
          <w:color w:val="000000"/>
          <w:lang w:val="en-US"/>
        </w:rPr>
      </w:pPr>
    </w:p>
    <w:p>
      <w:pPr>
        <w:autoSpaceDE w:val="0"/>
        <w:spacing w:after="0"/>
        <w:ind w:firstLine="720"/>
        <w:contextualSpacing/>
        <w:jc w:val="both"/>
        <w:rPr>
          <w:rFonts w:ascii="Times New Roman" w:hAnsi="Times New Roman" w:eastAsia="Calibri" w:cs="Times New Roman"/>
          <w:color w:val="000000"/>
          <w:lang w:val="en-US"/>
        </w:rPr>
      </w:pPr>
    </w:p>
    <w:p>
      <w:pPr>
        <w:autoSpaceDE w:val="0"/>
        <w:spacing w:after="0"/>
        <w:ind w:firstLine="720"/>
        <w:contextualSpacing/>
        <w:jc w:val="both"/>
        <w:rPr>
          <w:rFonts w:ascii="Times New Roman" w:hAnsi="Times New Roman" w:eastAsia="Calibri" w:cs="Times New Roman"/>
          <w:color w:val="000000"/>
          <w:lang w:val="en-US"/>
        </w:rPr>
      </w:pPr>
    </w:p>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Tabel 2. A Teacher Student Observation Guideline</w:t>
      </w:r>
    </w:p>
    <w:p>
      <w:pPr>
        <w:autoSpaceDE w:val="0"/>
        <w:spacing w:after="0"/>
        <w:contextualSpacing/>
        <w:jc w:val="both"/>
        <w:rPr>
          <w:rFonts w:ascii="Times New Roman" w:hAnsi="Times New Roman" w:eastAsia="Calibri" w:cs="Times New Roman"/>
          <w:color w:val="000000"/>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786"/>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cs="Times New Roman"/>
                <w:b/>
                <w:color w:val="000000"/>
                <w:lang w:val="en-US"/>
              </w:rPr>
            </w:pPr>
            <w:r>
              <w:rPr>
                <w:rFonts w:ascii="Times New Roman" w:hAnsi="Times New Roman" w:eastAsia="Calibri" w:cs="Times New Roman"/>
                <w:b/>
                <w:color w:val="000000"/>
                <w:lang w:val="en-US"/>
              </w:rPr>
              <w:t>No.</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cs="Times New Roman"/>
                <w:b/>
                <w:color w:val="000000"/>
                <w:lang w:val="en-US"/>
              </w:rPr>
            </w:pPr>
            <w:r>
              <w:rPr>
                <w:rFonts w:ascii="Times New Roman" w:hAnsi="Times New Roman" w:eastAsia="Calibri" w:cs="Times New Roman"/>
                <w:b/>
                <w:color w:val="000000"/>
                <w:lang w:val="en-US"/>
              </w:rPr>
              <w:t>Questions</w:t>
            </w:r>
          </w:p>
        </w:tc>
        <w:tc>
          <w:tcPr>
            <w:tcW w:w="3246"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cs="Times New Roman"/>
                <w:b/>
                <w:color w:val="000000"/>
                <w:lang w:val="en-US"/>
              </w:rPr>
            </w:pPr>
            <w:r>
              <w:rPr>
                <w:rFonts w:ascii="Times New Roman" w:hAnsi="Times New Roman" w:eastAsia="Calibri" w:cs="Times New Roman"/>
                <w:b/>
                <w:color w:val="000000"/>
                <w:lang w:val="en-US"/>
              </w:rPr>
              <w:t>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1</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lang w:val="en-GB"/>
              </w:rPr>
            </w:pPr>
            <w:r>
              <w:rPr>
                <w:rFonts w:ascii="Times New Roman" w:hAnsi="Times New Roman" w:eastAsia="Calibri"/>
                <w:bCs/>
                <w:color w:val="000000"/>
                <w:lang w:val="en-GB"/>
              </w:rPr>
              <w:t>What is the percentage of teacher students who joined community service for teaching students with special needs?</w:t>
            </w:r>
          </w:p>
        </w:tc>
        <w:tc>
          <w:tcPr>
            <w:tcW w:w="3246" w:type="dxa"/>
          </w:tcPr>
          <w:p>
            <w:pPr>
              <w:keepNext w:val="0"/>
              <w:keepLines w:val="0"/>
              <w:pageBreakBefore w:val="0"/>
              <w:widowControl/>
              <w:kinsoku/>
              <w:wordWrap/>
              <w:overflowPunct/>
              <w:topLinePunct w:val="0"/>
              <w:autoSpaceDE w:val="0"/>
              <w:autoSpaceDN/>
              <w:bidi w:val="0"/>
              <w:adjustRightInd/>
              <w:snapToGrid/>
              <w:contextualSpacing/>
              <w:textAlignment w:val="auto"/>
              <w:rPr>
                <w:rFonts w:ascii="Times New Roman" w:hAnsi="Times New Roman" w:eastAsia="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2</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lang w:val="en-GB"/>
              </w:rPr>
            </w:pPr>
            <w:r>
              <w:rPr>
                <w:rFonts w:ascii="Times New Roman" w:hAnsi="Times New Roman" w:eastAsia="Calibri"/>
                <w:bCs/>
                <w:color w:val="000000"/>
                <w:lang w:val="en-GB"/>
              </w:rPr>
              <w:t>What makes the students interested in joining this community service? What makes other students reluctant to join this community service?</w:t>
            </w:r>
          </w:p>
        </w:tc>
        <w:tc>
          <w:tcPr>
            <w:tcW w:w="3246" w:type="dxa"/>
          </w:tcPr>
          <w:p>
            <w:pPr>
              <w:keepNext w:val="0"/>
              <w:keepLines w:val="0"/>
              <w:pageBreakBefore w:val="0"/>
              <w:widowControl/>
              <w:kinsoku/>
              <w:wordWrap/>
              <w:overflowPunct/>
              <w:topLinePunct w:val="0"/>
              <w:autoSpaceDE w:val="0"/>
              <w:autoSpaceDN/>
              <w:bidi w:val="0"/>
              <w:adjustRightInd/>
              <w:snapToGrid/>
              <w:contextualSpacing/>
              <w:textAlignment w:val="auto"/>
              <w:rPr>
                <w:rFonts w:ascii="Times New Roman" w:hAnsi="Times New Roman" w:eastAsia="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3</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lang w:val="en-GB"/>
              </w:rPr>
            </w:pPr>
            <w:r>
              <w:rPr>
                <w:rFonts w:ascii="Times New Roman" w:hAnsi="Times New Roman" w:eastAsia="Calibri"/>
                <w:bCs/>
                <w:color w:val="000000"/>
                <w:lang w:val="en-GB"/>
              </w:rPr>
              <w:t>What makes the students worry about doing teaching practicum?</w:t>
            </w:r>
          </w:p>
        </w:tc>
        <w:tc>
          <w:tcPr>
            <w:tcW w:w="3246" w:type="dxa"/>
          </w:tcPr>
          <w:p>
            <w:pPr>
              <w:keepNext w:val="0"/>
              <w:keepLines w:val="0"/>
              <w:pageBreakBefore w:val="0"/>
              <w:widowControl/>
              <w:kinsoku/>
              <w:wordWrap/>
              <w:overflowPunct/>
              <w:topLinePunct w:val="0"/>
              <w:autoSpaceDE w:val="0"/>
              <w:autoSpaceDN/>
              <w:bidi w:val="0"/>
              <w:adjustRightInd/>
              <w:snapToGrid/>
              <w:contextualSpacing/>
              <w:textAlignment w:val="auto"/>
              <w:rPr>
                <w:rFonts w:ascii="Times New Roman" w:hAnsi="Times New Roman" w:eastAsia="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4</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lang w:val="en-GB"/>
              </w:rPr>
            </w:pPr>
            <w:r>
              <w:rPr>
                <w:rFonts w:ascii="Times New Roman" w:hAnsi="Times New Roman" w:eastAsia="Calibri"/>
                <w:bCs/>
                <w:color w:val="000000"/>
                <w:lang w:val="en-GB"/>
              </w:rPr>
              <w:t>What makes the teacher students avoid doing research and writing their final paper about special needs students?</w:t>
            </w:r>
          </w:p>
        </w:tc>
        <w:tc>
          <w:tcPr>
            <w:tcW w:w="3246" w:type="dxa"/>
          </w:tcPr>
          <w:p>
            <w:pPr>
              <w:keepNext w:val="0"/>
              <w:keepLines w:val="0"/>
              <w:pageBreakBefore w:val="0"/>
              <w:widowControl/>
              <w:kinsoku/>
              <w:wordWrap/>
              <w:overflowPunct/>
              <w:topLinePunct w:val="0"/>
              <w:autoSpaceDE w:val="0"/>
              <w:autoSpaceDN/>
              <w:bidi w:val="0"/>
              <w:adjustRightInd/>
              <w:snapToGrid/>
              <w:contextualSpacing/>
              <w:textAlignment w:val="auto"/>
              <w:rPr>
                <w:rFonts w:ascii="Times New Roman" w:hAnsi="Times New Roman" w:eastAsia="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5</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lang w:val="en-GB"/>
              </w:rPr>
            </w:pPr>
            <w:r>
              <w:rPr>
                <w:rFonts w:ascii="Times New Roman" w:hAnsi="Times New Roman" w:eastAsia="Calibri"/>
                <w:bCs/>
                <w:color w:val="000000"/>
                <w:lang w:val="en-GB"/>
              </w:rPr>
              <w:t>What are the teacher students' expectations after having the TCWDA course?</w:t>
            </w:r>
          </w:p>
        </w:tc>
        <w:tc>
          <w:tcPr>
            <w:tcW w:w="3246" w:type="dxa"/>
          </w:tcPr>
          <w:p>
            <w:pPr>
              <w:keepNext w:val="0"/>
              <w:keepLines w:val="0"/>
              <w:pageBreakBefore w:val="0"/>
              <w:widowControl/>
              <w:kinsoku/>
              <w:wordWrap/>
              <w:overflowPunct/>
              <w:topLinePunct w:val="0"/>
              <w:autoSpaceDE w:val="0"/>
              <w:autoSpaceDN/>
              <w:bidi w:val="0"/>
              <w:adjustRightInd/>
              <w:snapToGrid/>
              <w:contextualSpacing/>
              <w:textAlignment w:val="auto"/>
              <w:rPr>
                <w:rFonts w:ascii="Times New Roman" w:hAnsi="Times New Roman" w:eastAsia="Calibri"/>
                <w:bCs/>
                <w:color w:val="000000"/>
              </w:rPr>
            </w:pPr>
          </w:p>
        </w:tc>
      </w:tr>
    </w:tbl>
    <w:p>
      <w:pPr>
        <w:autoSpaceDE w:val="0"/>
        <w:spacing w:after="0"/>
        <w:contextualSpacing/>
        <w:jc w:val="both"/>
        <w:rPr>
          <w:rFonts w:ascii="Times New Roman" w:hAnsi="Times New Roman" w:eastAsia="Calibri" w:cs="Times New Roman"/>
          <w:color w:val="000000"/>
          <w:lang w:val="en-US"/>
        </w:rPr>
      </w:pPr>
    </w:p>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Tabel 3. A Lecturer Interview Guideline</w:t>
      </w:r>
    </w:p>
    <w:p>
      <w:pPr>
        <w:autoSpaceDE w:val="0"/>
        <w:spacing w:after="0"/>
        <w:contextualSpacing/>
        <w:jc w:val="both"/>
        <w:rPr>
          <w:rFonts w:ascii="Times New Roman" w:hAnsi="Times New Roman" w:eastAsia="Calibri" w:cs="Times New Roman"/>
          <w:color w:val="000000"/>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786"/>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b/>
                <w:color w:val="000000"/>
                <w:lang w:val="en-US"/>
              </w:rPr>
            </w:pPr>
            <w:r>
              <w:rPr>
                <w:rFonts w:ascii="Times New Roman" w:hAnsi="Times New Roman" w:eastAsia="Calibri" w:cs="Times New Roman"/>
                <w:b/>
                <w:color w:val="000000"/>
                <w:lang w:val="en-US"/>
              </w:rPr>
              <w:t>No.</w:t>
            </w:r>
          </w:p>
        </w:tc>
        <w:tc>
          <w:tcPr>
            <w:tcW w:w="5786" w:type="dxa"/>
          </w:tcPr>
          <w:p>
            <w:pPr>
              <w:autoSpaceDE w:val="0"/>
              <w:spacing w:after="0"/>
              <w:contextualSpacing/>
              <w:jc w:val="center"/>
              <w:rPr>
                <w:rFonts w:ascii="Times New Roman" w:hAnsi="Times New Roman" w:eastAsia="Calibri" w:cs="Times New Roman"/>
                <w:b/>
                <w:color w:val="000000"/>
                <w:lang w:val="en-US"/>
              </w:rPr>
            </w:pPr>
            <w:r>
              <w:rPr>
                <w:rFonts w:ascii="Times New Roman" w:hAnsi="Times New Roman" w:eastAsia="Calibri" w:cs="Times New Roman"/>
                <w:b/>
                <w:color w:val="000000"/>
                <w:lang w:val="en-US"/>
              </w:rPr>
              <w:t>Questions</w:t>
            </w:r>
          </w:p>
        </w:tc>
        <w:tc>
          <w:tcPr>
            <w:tcW w:w="3246" w:type="dxa"/>
          </w:tcPr>
          <w:p>
            <w:pPr>
              <w:autoSpaceDE w:val="0"/>
              <w:spacing w:after="0"/>
              <w:contextualSpacing/>
              <w:jc w:val="center"/>
              <w:rPr>
                <w:rFonts w:ascii="Times New Roman" w:hAnsi="Times New Roman" w:eastAsia="Calibri" w:cs="Times New Roman"/>
                <w:b/>
                <w:color w:val="000000"/>
                <w:lang w:val="en-US"/>
              </w:rPr>
            </w:pPr>
            <w:r>
              <w:rPr>
                <w:rFonts w:ascii="Times New Roman" w:hAnsi="Times New Roman" w:eastAsia="Calibri" w:cs="Times New Roman"/>
                <w:b/>
                <w:color w:val="000000"/>
                <w:lang w:val="en-US"/>
              </w:rPr>
              <w:t>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1</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lang w:val="en-GB"/>
              </w:rPr>
            </w:pPr>
            <w:r>
              <w:rPr>
                <w:rFonts w:ascii="Times New Roman" w:hAnsi="Times New Roman" w:eastAsia="Calibri"/>
                <w:bCs/>
                <w:color w:val="000000"/>
                <w:lang w:val="en-GB"/>
              </w:rPr>
              <w:t>What are the benefits of having a TCWDA course in this Faculty of Education?</w:t>
            </w:r>
          </w:p>
        </w:tc>
        <w:tc>
          <w:tcPr>
            <w:tcW w:w="324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2</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lang w:val="en-GB"/>
              </w:rPr>
            </w:pPr>
            <w:r>
              <w:rPr>
                <w:rFonts w:ascii="Times New Roman" w:hAnsi="Times New Roman" w:eastAsia="Calibri"/>
                <w:bCs/>
                <w:color w:val="000000"/>
                <w:lang w:val="en-GB"/>
              </w:rPr>
              <w:t>What do the students get when learning this course?</w:t>
            </w:r>
          </w:p>
        </w:tc>
        <w:tc>
          <w:tcPr>
            <w:tcW w:w="324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3</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lang w:val="en-GB"/>
              </w:rPr>
            </w:pPr>
            <w:r>
              <w:rPr>
                <w:rFonts w:ascii="Times New Roman" w:hAnsi="Times New Roman" w:eastAsia="Calibri"/>
                <w:bCs/>
                <w:color w:val="000000"/>
                <w:lang w:val="en-GB"/>
              </w:rPr>
              <w:t>What should be improved in terms of course credit</w:t>
            </w:r>
            <w:r>
              <w:rPr>
                <w:rFonts w:hint="default" w:ascii="Times New Roman" w:hAnsi="Times New Roman" w:eastAsia="Calibri"/>
                <w:bCs/>
                <w:color w:val="000000"/>
                <w:lang w:val="en-GB"/>
              </w:rPr>
              <w:t xml:space="preserve"> </w:t>
            </w:r>
            <w:r>
              <w:rPr>
                <w:rFonts w:ascii="Times New Roman" w:hAnsi="Times New Roman" w:eastAsia="Calibri"/>
                <w:bCs/>
                <w:color w:val="000000"/>
                <w:lang w:val="en-GB"/>
              </w:rPr>
              <w:t>hour given by the Faculty of Education?</w:t>
            </w:r>
          </w:p>
        </w:tc>
        <w:tc>
          <w:tcPr>
            <w:tcW w:w="3246" w:type="dxa"/>
          </w:tcPr>
          <w:p>
            <w:pPr>
              <w:autoSpaceDE w:val="0"/>
              <w:contextualSpacing/>
              <w:rPr>
                <w:rFonts w:ascii="Times New Roman" w:hAnsi="Times New Roman" w:eastAsia="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4</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lang w:val="en-GB"/>
              </w:rPr>
            </w:pPr>
            <w:r>
              <w:rPr>
                <w:rFonts w:ascii="Times New Roman" w:hAnsi="Times New Roman" w:eastAsia="Calibri"/>
                <w:bCs/>
                <w:color w:val="000000"/>
                <w:lang w:val="en-GB"/>
              </w:rPr>
              <w:t>What should be improved in the terms of learning material and experiences?</w:t>
            </w:r>
          </w:p>
        </w:tc>
        <w:tc>
          <w:tcPr>
            <w:tcW w:w="3246" w:type="dxa"/>
          </w:tcPr>
          <w:p>
            <w:pPr>
              <w:autoSpaceDE w:val="0"/>
              <w:contextualSpacing/>
              <w:rPr>
                <w:rFonts w:ascii="Times New Roman" w:hAnsi="Times New Roman" w:eastAsia="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pageBreakBefore w:val="0"/>
              <w:widowControl/>
              <w:kinsoku/>
              <w:wordWrap/>
              <w:overflowPunct/>
              <w:topLinePunct w:val="0"/>
              <w:autoSpaceDE w:val="0"/>
              <w:autoSpaceDN/>
              <w:bidi w:val="0"/>
              <w:adjustRightInd/>
              <w:snapToGrid/>
              <w:spacing w:after="0"/>
              <w:contextualSpacing/>
              <w:jc w:val="center"/>
              <w:textAlignment w:val="auto"/>
              <w:rPr>
                <w:rFonts w:ascii="Times New Roman" w:hAnsi="Times New Roman" w:eastAsia="Calibri"/>
                <w:bCs/>
                <w:color w:val="000000"/>
                <w:lang w:val="en-GB"/>
              </w:rPr>
            </w:pPr>
            <w:r>
              <w:rPr>
                <w:rFonts w:ascii="Times New Roman" w:hAnsi="Times New Roman" w:eastAsia="Calibri"/>
                <w:bCs/>
                <w:color w:val="000000"/>
                <w:lang w:val="en-GB"/>
              </w:rPr>
              <w:t>5</w:t>
            </w:r>
          </w:p>
        </w:tc>
        <w:tc>
          <w:tcPr>
            <w:tcW w:w="578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hint="default" w:ascii="Times New Roman" w:hAnsi="Times New Roman" w:eastAsia="Calibri"/>
                <w:bCs/>
                <w:color w:val="000000"/>
                <w:lang w:val="en-GB"/>
              </w:rPr>
            </w:pPr>
            <w:r>
              <w:rPr>
                <w:rFonts w:ascii="Times New Roman" w:hAnsi="Times New Roman" w:eastAsia="Calibri"/>
                <w:bCs/>
                <w:color w:val="000000"/>
                <w:lang w:val="en-GB"/>
              </w:rPr>
              <w:t>What is the alternative solution for the improvement</w:t>
            </w:r>
            <w:r>
              <w:rPr>
                <w:rFonts w:hint="default" w:ascii="Times New Roman" w:hAnsi="Times New Roman" w:eastAsia="Calibri"/>
                <w:bCs/>
                <w:color w:val="000000"/>
                <w:lang w:val="en-GB"/>
              </w:rPr>
              <w:t>?</w:t>
            </w:r>
          </w:p>
        </w:tc>
        <w:tc>
          <w:tcPr>
            <w:tcW w:w="3246" w:type="dxa"/>
          </w:tcPr>
          <w:p>
            <w:pPr>
              <w:keepNext w:val="0"/>
              <w:keepLines w:val="0"/>
              <w:pageBreakBefore w:val="0"/>
              <w:widowControl/>
              <w:kinsoku/>
              <w:wordWrap/>
              <w:overflowPunct/>
              <w:topLinePunct w:val="0"/>
              <w:autoSpaceDE w:val="0"/>
              <w:autoSpaceDN/>
              <w:bidi w:val="0"/>
              <w:adjustRightInd/>
              <w:snapToGrid/>
              <w:spacing w:after="0"/>
              <w:contextualSpacing/>
              <w:textAlignment w:val="auto"/>
              <w:rPr>
                <w:rFonts w:ascii="Times New Roman" w:hAnsi="Times New Roman" w:eastAsia="Calibri"/>
                <w:bCs/>
                <w:color w:val="000000"/>
              </w:rPr>
            </w:pPr>
          </w:p>
        </w:tc>
      </w:tr>
    </w:tbl>
    <w:p>
      <w:pPr>
        <w:autoSpaceDE w:val="0"/>
        <w:spacing w:after="0"/>
        <w:contextualSpacing/>
        <w:jc w:val="both"/>
        <w:rPr>
          <w:rFonts w:ascii="Times New Roman" w:hAnsi="Times New Roman" w:eastAsia="Calibri" w:cs="Times New Roman"/>
          <w:color w:val="000000"/>
          <w:lang w:val="en-US"/>
        </w:rPr>
      </w:pPr>
    </w:p>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Tabel 4. A Document Analysis Guideline</w:t>
      </w:r>
    </w:p>
    <w:p>
      <w:pPr>
        <w:autoSpaceDE w:val="0"/>
        <w:spacing w:after="0"/>
        <w:contextualSpacing/>
        <w:jc w:val="both"/>
        <w:rPr>
          <w:rFonts w:ascii="Times New Roman" w:hAnsi="Times New Roman" w:eastAsia="Calibri" w:cs="Times New Roman"/>
          <w:color w:val="000000"/>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536"/>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autoSpaceDE w:val="0"/>
              <w:spacing w:after="0"/>
              <w:contextualSpacing/>
              <w:jc w:val="center"/>
              <w:rPr>
                <w:rFonts w:ascii="Times New Roman" w:hAnsi="Times New Roman" w:eastAsia="Calibri" w:cs="Times New Roman"/>
                <w:b/>
                <w:color w:val="000000"/>
                <w:lang w:val="en-US"/>
              </w:rPr>
            </w:pPr>
            <w:r>
              <w:rPr>
                <w:rFonts w:ascii="Times New Roman" w:hAnsi="Times New Roman" w:eastAsia="Calibri" w:cs="Times New Roman"/>
                <w:b/>
                <w:color w:val="000000"/>
                <w:lang w:val="en-US"/>
              </w:rPr>
              <w:t>No.</w:t>
            </w:r>
          </w:p>
        </w:tc>
        <w:tc>
          <w:tcPr>
            <w:tcW w:w="4536" w:type="dxa"/>
          </w:tcPr>
          <w:p>
            <w:pPr>
              <w:autoSpaceDE w:val="0"/>
              <w:spacing w:after="0"/>
              <w:contextualSpacing/>
              <w:jc w:val="center"/>
              <w:rPr>
                <w:rFonts w:ascii="Times New Roman" w:hAnsi="Times New Roman" w:eastAsia="Calibri" w:cs="Times New Roman"/>
                <w:b/>
                <w:color w:val="000000"/>
                <w:lang w:val="en-US"/>
              </w:rPr>
            </w:pPr>
            <w:r>
              <w:rPr>
                <w:rFonts w:ascii="Times New Roman" w:hAnsi="Times New Roman" w:eastAsia="Calibri" w:cs="Times New Roman"/>
                <w:b/>
                <w:color w:val="000000"/>
                <w:lang w:val="en-US"/>
              </w:rPr>
              <w:t>Questions</w:t>
            </w:r>
          </w:p>
        </w:tc>
        <w:tc>
          <w:tcPr>
            <w:tcW w:w="4496" w:type="dxa"/>
          </w:tcPr>
          <w:p>
            <w:pPr>
              <w:autoSpaceDE w:val="0"/>
              <w:spacing w:after="0"/>
              <w:contextualSpacing/>
              <w:jc w:val="center"/>
              <w:rPr>
                <w:rFonts w:ascii="Times New Roman" w:hAnsi="Times New Roman" w:eastAsia="Calibri" w:cs="Times New Roman"/>
                <w:b/>
                <w:color w:val="000000"/>
                <w:lang w:val="en-US"/>
              </w:rPr>
            </w:pPr>
            <w:r>
              <w:rPr>
                <w:rFonts w:ascii="Times New Roman" w:hAnsi="Times New Roman" w:eastAsia="Calibri" w:cs="Times New Roman"/>
                <w:b/>
                <w:color w:val="000000"/>
                <w:lang w:val="en-US"/>
              </w:rPr>
              <w:t>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1</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 xml:space="preserve">What year level will the students study the course? </w:t>
            </w:r>
          </w:p>
        </w:tc>
        <w:tc>
          <w:tcPr>
            <w:tcW w:w="4496" w:type="dxa"/>
          </w:tcPr>
          <w:p>
            <w:pPr>
              <w:autoSpaceDE w:val="0"/>
              <w:spacing w:after="0"/>
              <w:contextualSpacing/>
              <w:jc w:val="both"/>
              <w:rPr>
                <w:rFonts w:ascii="Times New Roman" w:hAnsi="Times New Roman" w:eastAsia="Calibri"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2</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How many credits in a week did the course is studied?</w:t>
            </w:r>
          </w:p>
        </w:tc>
        <w:tc>
          <w:tcPr>
            <w:tcW w:w="4496" w:type="dxa"/>
          </w:tcPr>
          <w:p>
            <w:pPr>
              <w:autoSpaceDE w:val="0"/>
              <w:spacing w:after="0"/>
              <w:contextualSpacing/>
              <w:jc w:val="both"/>
              <w:rPr>
                <w:rFonts w:ascii="Times New Roman" w:hAnsi="Times New Roman" w:eastAsia="Calibri"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3</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What is the description of the course?</w:t>
            </w:r>
          </w:p>
        </w:tc>
        <w:tc>
          <w:tcPr>
            <w:tcW w:w="4496" w:type="dxa"/>
          </w:tcPr>
          <w:p>
            <w:pPr>
              <w:autoSpaceDE w:val="0"/>
              <w:spacing w:after="0"/>
              <w:contextualSpacing/>
              <w:jc w:val="both"/>
              <w:rPr>
                <w:rFonts w:ascii="Times New Roman" w:hAnsi="Times New Roman" w:eastAsia="Calibri"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4</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What are the Program Learning Objectives of the course?</w:t>
            </w:r>
          </w:p>
        </w:tc>
        <w:tc>
          <w:tcPr>
            <w:tcW w:w="4496" w:type="dxa"/>
          </w:tcPr>
          <w:p>
            <w:pPr>
              <w:autoSpaceDE w:val="0"/>
              <w:spacing w:after="0"/>
              <w:contextualSpacing/>
              <w:jc w:val="both"/>
              <w:rPr>
                <w:rFonts w:ascii="Times New Roman" w:hAnsi="Times New Roman" w:eastAsia="Calibri"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5</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What are the Competenc</w:t>
            </w:r>
            <w:r>
              <w:rPr>
                <w:rFonts w:hint="default" w:ascii="Times New Roman" w:hAnsi="Times New Roman" w:eastAsia="Calibri" w:cs="Times New Roman"/>
                <w:color w:val="000000"/>
                <w:lang w:val="en-GB"/>
              </w:rPr>
              <w:t>i</w:t>
            </w:r>
            <w:r>
              <w:rPr>
                <w:rFonts w:ascii="Times New Roman" w:hAnsi="Times New Roman" w:eastAsia="Calibri" w:cs="Times New Roman"/>
                <w:color w:val="000000"/>
                <w:lang w:val="en-US"/>
              </w:rPr>
              <w:t>es Learning Objectives of the course?</w:t>
            </w:r>
          </w:p>
        </w:tc>
        <w:tc>
          <w:tcPr>
            <w:tcW w:w="4496" w:type="dxa"/>
          </w:tcPr>
          <w:p>
            <w:pPr>
              <w:autoSpaceDE w:val="0"/>
              <w:spacing w:after="0"/>
              <w:contextualSpacing/>
              <w:jc w:val="both"/>
              <w:rPr>
                <w:rFonts w:ascii="Times New Roman" w:hAnsi="Times New Roman" w:eastAsia="Calibri"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6</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What is the learning method applied?</w:t>
            </w:r>
          </w:p>
        </w:tc>
        <w:tc>
          <w:tcPr>
            <w:tcW w:w="4496" w:type="dxa"/>
          </w:tcPr>
          <w:p>
            <w:pPr>
              <w:autoSpaceDE w:val="0"/>
              <w:spacing w:after="0"/>
              <w:contextualSpacing/>
              <w:jc w:val="both"/>
              <w:rPr>
                <w:rFonts w:ascii="Times New Roman" w:hAnsi="Times New Roman" w:eastAsia="Calibri"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7</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What are the references used?</w:t>
            </w:r>
          </w:p>
        </w:tc>
        <w:tc>
          <w:tcPr>
            <w:tcW w:w="4496" w:type="dxa"/>
          </w:tcPr>
          <w:p>
            <w:pPr>
              <w:autoSpaceDE w:val="0"/>
              <w:spacing w:after="0"/>
              <w:contextualSpacing/>
              <w:jc w:val="both"/>
              <w:rPr>
                <w:rFonts w:ascii="Times New Roman" w:hAnsi="Times New Roman" w:eastAsia="Calibri"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8</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What are the class rules?</w:t>
            </w:r>
          </w:p>
        </w:tc>
        <w:tc>
          <w:tcPr>
            <w:tcW w:w="4496" w:type="dxa"/>
          </w:tcPr>
          <w:p>
            <w:pPr>
              <w:autoSpaceDE w:val="0"/>
              <w:spacing w:after="0"/>
              <w:contextualSpacing/>
              <w:jc w:val="both"/>
              <w:rPr>
                <w:rFonts w:ascii="Times New Roman" w:hAnsi="Times New Roman" w:eastAsia="Calibri"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9</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What kind of assessments are given and their weight as well as the rubric?</w:t>
            </w:r>
          </w:p>
        </w:tc>
        <w:tc>
          <w:tcPr>
            <w:tcW w:w="4496" w:type="dxa"/>
          </w:tcPr>
          <w:p>
            <w:pPr>
              <w:autoSpaceDE w:val="0"/>
              <w:spacing w:after="0"/>
              <w:contextualSpacing/>
              <w:jc w:val="both"/>
              <w:rPr>
                <w:rFonts w:ascii="Times New Roman" w:hAnsi="Times New Roman" w:eastAsia="Calibri" w:cs="Times New Roman"/>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spacing w:after="0"/>
              <w:contextualSpacing/>
              <w:jc w:val="center"/>
              <w:rPr>
                <w:rFonts w:ascii="Times New Roman" w:hAnsi="Times New Roman" w:eastAsia="Calibri" w:cs="Times New Roman"/>
                <w:color w:val="000000"/>
                <w:lang w:val="en-US"/>
              </w:rPr>
            </w:pPr>
            <w:r>
              <w:rPr>
                <w:rFonts w:ascii="Times New Roman" w:hAnsi="Times New Roman" w:eastAsia="Calibri" w:cs="Times New Roman"/>
                <w:color w:val="000000"/>
                <w:lang w:val="en-US"/>
              </w:rPr>
              <w:t>10</w:t>
            </w:r>
          </w:p>
        </w:tc>
        <w:tc>
          <w:tcPr>
            <w:tcW w:w="4536" w:type="dxa"/>
          </w:tcPr>
          <w:p>
            <w:pPr>
              <w:autoSpaceDE w:val="0"/>
              <w:spacing w:after="0"/>
              <w:contextualSpacing/>
              <w:jc w:val="both"/>
              <w:rPr>
                <w:rFonts w:ascii="Times New Roman" w:hAnsi="Times New Roman" w:eastAsia="Calibri" w:cs="Times New Roman"/>
                <w:color w:val="000000"/>
                <w:lang w:val="en-US"/>
              </w:rPr>
            </w:pPr>
            <w:r>
              <w:rPr>
                <w:rFonts w:ascii="Times New Roman" w:hAnsi="Times New Roman" w:eastAsia="Calibri" w:cs="Times New Roman"/>
                <w:color w:val="000000"/>
                <w:lang w:val="en-US"/>
              </w:rPr>
              <w:t>What are the lesson plans for 16 meetings?</w:t>
            </w:r>
          </w:p>
        </w:tc>
        <w:tc>
          <w:tcPr>
            <w:tcW w:w="4496" w:type="dxa"/>
          </w:tcPr>
          <w:p>
            <w:pPr>
              <w:autoSpaceDE w:val="0"/>
              <w:spacing w:after="0"/>
              <w:contextualSpacing/>
              <w:jc w:val="both"/>
              <w:rPr>
                <w:rFonts w:ascii="Times New Roman" w:hAnsi="Times New Roman" w:eastAsia="Calibri" w:cs="Times New Roman"/>
                <w:color w:val="000000"/>
                <w:lang w:val="en-US"/>
              </w:rPr>
            </w:pPr>
          </w:p>
        </w:tc>
      </w:tr>
    </w:tbl>
    <w:p>
      <w:pPr>
        <w:autoSpaceDE w:val="0"/>
        <w:spacing w:after="0"/>
        <w:contextualSpacing/>
        <w:jc w:val="both"/>
        <w:rPr>
          <w:rFonts w:ascii="Times New Roman" w:hAnsi="Times New Roman" w:eastAsia="Calibri" w:cs="Times New Roman"/>
          <w:color w:val="000000"/>
          <w:lang w:val="en-US"/>
        </w:rPr>
      </w:pPr>
    </w:p>
    <w:p>
      <w:pPr>
        <w:autoSpaceDE w:val="0"/>
        <w:contextualSpacing/>
        <w:rPr>
          <w:rFonts w:ascii="Times New Roman" w:hAnsi="Times New Roman" w:eastAsia="Calibri"/>
          <w:bCs/>
          <w:color w:val="000000"/>
        </w:rPr>
      </w:pPr>
    </w:p>
    <w:p>
      <w:pPr>
        <w:pStyle w:val="12"/>
        <w:shd w:val="clear" w:color="auto" w:fill="FFFFFF"/>
        <w:autoSpaceDE w:val="0"/>
        <w:spacing w:before="0" w:beforeAutospacing="0" w:after="0" w:afterAutospacing="0" w:line="276" w:lineRule="auto"/>
        <w:jc w:val="both"/>
        <w:rPr>
          <w:rFonts w:ascii="Times New Roman" w:hAnsi="Times New Roman"/>
          <w:color w:val="000000"/>
          <w:sz w:val="22"/>
          <w:szCs w:val="22"/>
        </w:rPr>
      </w:pPr>
      <w:r>
        <w:rPr>
          <w:rFonts w:ascii="Times New Roman" w:hAnsi="Times New Roman"/>
          <w:color w:val="000000"/>
          <w:sz w:val="22"/>
          <w:szCs w:val="22"/>
        </w:rPr>
        <w:t>First of all, the researcher observed the students of Cohort 2016-2017 during 2019-2020 when they joined the community service for teaching special needs children in Serpong, Tangerang held by a group of parents who had special needs children. The community service was led by some lecturers. One of them was a TCWDA lecturer. Secondly, the researcher interviewed the TCWDA lecturer in July 2020 to clarify the observation data. Thirdly, the researcher compared the teacher students’ observation data with the lecturer’s interview data. Fourthly, the researcher analyzed the TCWDA course syllabus</w:t>
      </w:r>
      <w:r>
        <w:rPr>
          <w:rFonts w:hint="default" w:ascii="Times New Roman" w:hAnsi="Times New Roman"/>
          <w:color w:val="000000"/>
          <w:sz w:val="22"/>
          <w:szCs w:val="22"/>
          <w:lang w:val="en-GB"/>
        </w:rPr>
        <w:t xml:space="preserve"> and compared with the data of the lecturer and teacher students</w:t>
      </w:r>
      <w:r>
        <w:rPr>
          <w:rFonts w:ascii="Times New Roman" w:hAnsi="Times New Roman"/>
          <w:color w:val="000000"/>
          <w:sz w:val="22"/>
          <w:szCs w:val="22"/>
        </w:rPr>
        <w:t xml:space="preserve">. Fifthly, the researcher evaluated </w:t>
      </w:r>
      <w:r>
        <w:rPr>
          <w:rFonts w:hint="default" w:ascii="Times New Roman" w:hAnsi="Times New Roman"/>
          <w:color w:val="000000"/>
          <w:sz w:val="22"/>
          <w:szCs w:val="22"/>
          <w:lang w:val="en-GB"/>
        </w:rPr>
        <w:t xml:space="preserve">all </w:t>
      </w:r>
      <w:r>
        <w:rPr>
          <w:rFonts w:ascii="Times New Roman" w:hAnsi="Times New Roman"/>
          <w:color w:val="000000"/>
          <w:sz w:val="22"/>
          <w:szCs w:val="22"/>
        </w:rPr>
        <w:t xml:space="preserve">the data. Finally, the researcher </w:t>
      </w:r>
      <w:r>
        <w:rPr>
          <w:rFonts w:hint="default" w:ascii="Times New Roman" w:hAnsi="Times New Roman"/>
          <w:color w:val="000000"/>
          <w:sz w:val="22"/>
          <w:szCs w:val="22"/>
          <w:lang w:val="en-GB"/>
        </w:rPr>
        <w:t xml:space="preserve">concluded and </w:t>
      </w:r>
      <w:r>
        <w:rPr>
          <w:rFonts w:ascii="Times New Roman" w:hAnsi="Times New Roman"/>
          <w:color w:val="000000"/>
          <w:sz w:val="22"/>
          <w:szCs w:val="22"/>
        </w:rPr>
        <w:t>suggested a program to make the TCWDA course fulfill</w:t>
      </w:r>
      <w:r>
        <w:rPr>
          <w:rFonts w:hint="default" w:ascii="Times New Roman" w:hAnsi="Times New Roman"/>
          <w:color w:val="000000"/>
          <w:sz w:val="22"/>
          <w:szCs w:val="22"/>
          <w:lang w:val="en-GB"/>
        </w:rPr>
        <w:t>ed</w:t>
      </w:r>
      <w:r>
        <w:rPr>
          <w:rFonts w:ascii="Times New Roman" w:hAnsi="Times New Roman"/>
          <w:color w:val="000000"/>
          <w:sz w:val="22"/>
          <w:szCs w:val="22"/>
        </w:rPr>
        <w:t xml:space="preserve"> the Graduate Profile.</w:t>
      </w:r>
    </w:p>
    <w:p>
      <w:pPr>
        <w:pStyle w:val="12"/>
        <w:shd w:val="clear" w:color="auto" w:fill="FFFFFF"/>
        <w:autoSpaceDE w:val="0"/>
        <w:spacing w:before="0" w:beforeAutospacing="0" w:after="0" w:afterAutospacing="0" w:line="276" w:lineRule="auto"/>
        <w:jc w:val="both"/>
        <w:rPr>
          <w:rFonts w:ascii="Times New Roman" w:hAnsi="Times New Roman"/>
          <w:color w:val="000000"/>
          <w:sz w:val="22"/>
          <w:szCs w:val="22"/>
        </w:rPr>
      </w:pPr>
    </w:p>
    <w:p>
      <w:pPr>
        <w:spacing w:after="0"/>
        <w:rPr>
          <w:rFonts w:ascii="Times New Roman" w:hAnsi="Times New Roman" w:cs="Times New Roman"/>
          <w:b/>
          <w:lang w:val="en-US"/>
        </w:rPr>
      </w:pPr>
      <w:r>
        <w:rPr>
          <w:rFonts w:ascii="Times New Roman" w:hAnsi="Times New Roman" w:cs="Times New Roman"/>
          <w:b/>
          <w:lang w:val="en-US"/>
        </w:rPr>
        <w:t xml:space="preserve">DATA ANALYSIS AND DISCUSSION </w:t>
      </w:r>
    </w:p>
    <w:p>
      <w:pPr>
        <w:autoSpaceDE w:val="0"/>
        <w:ind w:firstLine="720"/>
        <w:contextualSpacing/>
        <w:jc w:val="both"/>
        <w:rPr>
          <w:rFonts w:ascii="Times New Roman" w:hAnsi="Times New Roman" w:eastAsia="Calibri"/>
          <w:bCs/>
          <w:lang w:val="en-GB"/>
        </w:rPr>
      </w:pPr>
      <w:r>
        <w:rPr>
          <w:rFonts w:ascii="Times New Roman" w:hAnsi="Times New Roman" w:eastAsia="Calibri"/>
          <w:bCs/>
          <w:lang w:val="en-GB"/>
        </w:rPr>
        <w:t xml:space="preserve">As </w:t>
      </w:r>
      <w:r>
        <w:rPr>
          <w:rFonts w:hint="default" w:ascii="Times New Roman" w:hAnsi="Times New Roman" w:eastAsia="Calibri"/>
          <w:bCs/>
          <w:lang w:val="en-GB"/>
        </w:rPr>
        <w:t xml:space="preserve">it </w:t>
      </w:r>
      <w:r>
        <w:rPr>
          <w:rFonts w:ascii="Times New Roman" w:hAnsi="Times New Roman" w:eastAsia="Calibri"/>
          <w:bCs/>
          <w:lang w:val="en-GB"/>
        </w:rPr>
        <w:t>is explained in the previous part, there are three kinds of data gathered for the research. The first is the teacher students' observation. The second data is the TCWDA lecturer's interview. The third data is the TCWDA course syllabus analysis. All the d</w:t>
      </w:r>
      <w:r>
        <w:rPr>
          <w:rFonts w:hint="default" w:ascii="Times New Roman" w:hAnsi="Times New Roman" w:eastAsia="Calibri"/>
          <w:bCs/>
          <w:lang w:val="en-GB"/>
        </w:rPr>
        <w:t xml:space="preserve">ata are </w:t>
      </w:r>
      <w:r>
        <w:rPr>
          <w:rFonts w:ascii="Times New Roman" w:hAnsi="Times New Roman" w:eastAsia="Calibri"/>
          <w:bCs/>
          <w:lang w:val="en-GB"/>
        </w:rPr>
        <w:t>analyzed one by one. Then, it will be summarized. The summary will give a clearer picture of what happened to the TCWDA course in the Faculty of Education. Based o</w:t>
      </w:r>
      <w:r>
        <w:rPr>
          <w:rFonts w:hint="default" w:ascii="Times New Roman" w:hAnsi="Times New Roman" w:eastAsia="Calibri"/>
          <w:bCs/>
          <w:lang w:val="en-GB"/>
        </w:rPr>
        <w:t>n</w:t>
      </w:r>
      <w:r>
        <w:rPr>
          <w:rFonts w:ascii="Times New Roman" w:hAnsi="Times New Roman" w:eastAsia="Calibri"/>
          <w:bCs/>
          <w:lang w:val="en-GB"/>
        </w:rPr>
        <w:t xml:space="preserve"> the need analysis, an alternative solution will be offered and presented.</w:t>
      </w:r>
    </w:p>
    <w:p>
      <w:pPr>
        <w:autoSpaceDE w:val="0"/>
        <w:spacing w:after="0"/>
        <w:ind w:firstLine="720"/>
        <w:contextualSpacing/>
        <w:jc w:val="both"/>
        <w:rPr>
          <w:rFonts w:ascii="Times New Roman" w:hAnsi="Times New Roman" w:eastAsia="Calibri"/>
          <w:bCs/>
          <w:color w:val="000000"/>
          <w:lang w:val="en-GB"/>
        </w:rPr>
      </w:pPr>
      <w:r>
        <w:rPr>
          <w:rFonts w:ascii="Times New Roman" w:hAnsi="Times New Roman" w:eastAsia="Calibri"/>
          <w:bCs/>
          <w:lang w:val="en-GB"/>
        </w:rPr>
        <w:t xml:space="preserve">The first data got from the teacher students' observation are as follows. First, the number of students who joined community service for teaching students with special needs was less than 10%. Second, less than 10% of students were interested in joining the community service because they had an opportunity to teach the special needs students directly. The rest of the students were reluctant in joining the community service because they felt incapable and </w:t>
      </w:r>
      <w:r>
        <w:rPr>
          <w:rFonts w:hint="default" w:ascii="Times New Roman" w:hAnsi="Times New Roman" w:eastAsia="Calibri"/>
          <w:bCs/>
          <w:lang w:val="en-GB"/>
        </w:rPr>
        <w:t>un</w:t>
      </w:r>
      <w:r>
        <w:rPr>
          <w:rFonts w:ascii="Times New Roman" w:hAnsi="Times New Roman" w:eastAsia="Calibri"/>
          <w:bCs/>
          <w:lang w:val="en-GB"/>
        </w:rPr>
        <w:t>skilful to teach the special needs children. Third, the teacher students avoided doing research and writing their final paper about special needs students as they felt only knew the special needs children</w:t>
      </w:r>
      <w:r>
        <w:rPr>
          <w:rFonts w:hint="default" w:ascii="Times New Roman" w:hAnsi="Times New Roman" w:eastAsia="Calibri"/>
          <w:bCs/>
          <w:lang w:val="en-GB"/>
        </w:rPr>
        <w:t xml:space="preserve"> as far as the head knowledge</w:t>
      </w:r>
      <w:r>
        <w:rPr>
          <w:rFonts w:ascii="Times New Roman" w:hAnsi="Times New Roman" w:eastAsia="Calibri"/>
          <w:bCs/>
          <w:lang w:val="en-GB"/>
        </w:rPr>
        <w:t>, but not the skill and affecti</w:t>
      </w:r>
      <w:r>
        <w:rPr>
          <w:rFonts w:hint="default" w:ascii="Times New Roman" w:hAnsi="Times New Roman" w:eastAsia="Calibri"/>
          <w:bCs/>
          <w:lang w:val="en-GB"/>
        </w:rPr>
        <w:t>on</w:t>
      </w:r>
      <w:r>
        <w:rPr>
          <w:rFonts w:ascii="Times New Roman" w:hAnsi="Times New Roman" w:eastAsia="Calibri"/>
          <w:bCs/>
          <w:lang w:val="en-GB"/>
        </w:rPr>
        <w:t xml:space="preserve">. </w:t>
      </w:r>
      <w:r>
        <w:rPr>
          <w:rFonts w:hint="default" w:ascii="Times New Roman" w:hAnsi="Times New Roman" w:eastAsia="Calibri"/>
          <w:bCs/>
          <w:lang w:val="en-GB"/>
        </w:rPr>
        <w:t>F</w:t>
      </w:r>
      <w:r>
        <w:rPr>
          <w:rFonts w:ascii="Times New Roman" w:hAnsi="Times New Roman" w:eastAsia="Calibri"/>
          <w:bCs/>
          <w:lang w:val="en-GB"/>
        </w:rPr>
        <w:t xml:space="preserve">ourth, what made the senior students who did the teaching practicum in schools feel worried was meeting and teaching special needs children in their classroom. They tended to be panicky in handling the special needs students. As a result, the classroom </w:t>
      </w:r>
      <w:r>
        <w:rPr>
          <w:rFonts w:ascii="Times New Roman" w:hAnsi="Times New Roman" w:eastAsia="Calibri"/>
          <w:bCs/>
          <w:color w:val="000000"/>
          <w:lang w:val="en-GB"/>
        </w:rPr>
        <w:t xml:space="preserve">environment became unconducive. </w:t>
      </w:r>
      <w:r>
        <w:rPr>
          <w:rFonts w:hint="default" w:ascii="Times New Roman" w:hAnsi="Times New Roman" w:eastAsia="Calibri"/>
          <w:bCs/>
          <w:color w:val="000000"/>
          <w:lang w:val="en-GB"/>
        </w:rPr>
        <w:t>Fifth, t</w:t>
      </w:r>
      <w:r>
        <w:rPr>
          <w:rFonts w:ascii="Times New Roman" w:hAnsi="Times New Roman" w:eastAsia="Calibri"/>
          <w:bCs/>
          <w:color w:val="000000"/>
          <w:lang w:val="en-GB"/>
        </w:rPr>
        <w:t xml:space="preserve">he teacher students’ expectation after having the TCWDA course was not only having knowledge but also experiencing teaching special need students and developing their teachers’ affection toward the students. </w:t>
      </w:r>
    </w:p>
    <w:p>
      <w:pPr>
        <w:pStyle w:val="8"/>
        <w:tabs>
          <w:tab w:val="left" w:pos="426"/>
        </w:tabs>
        <w:spacing w:after="0"/>
        <w:ind w:firstLine="567"/>
        <w:contextualSpacing/>
        <w:jc w:val="both"/>
        <w:rPr>
          <w:rFonts w:ascii="Times New Roman" w:hAnsi="Times New Roman" w:cs="Times New Roman"/>
          <w:lang w:val="en-GB"/>
        </w:rPr>
      </w:pPr>
      <w:r>
        <w:rPr>
          <w:rFonts w:hint="default" w:ascii="Times New Roman" w:hAnsi="Times New Roman" w:eastAsia="Calibri"/>
          <w:bCs/>
          <w:color w:val="000000"/>
          <w:lang w:val="en-GB"/>
        </w:rPr>
        <w:t>The above data</w:t>
      </w:r>
      <w:r>
        <w:rPr>
          <w:rFonts w:ascii="Times New Roman" w:hAnsi="Times New Roman" w:eastAsia="Calibri"/>
          <w:bCs/>
          <w:color w:val="000000"/>
          <w:lang w:val="en-GB"/>
        </w:rPr>
        <w:t xml:space="preserve"> could be interpreted that the teacher students need to be equipped with the </w:t>
      </w:r>
      <w:r>
        <w:rPr>
          <w:rFonts w:hint="default" w:ascii="Times New Roman" w:hAnsi="Times New Roman" w:eastAsia="Calibri"/>
          <w:bCs/>
          <w:color w:val="000000"/>
          <w:lang w:val="en-GB"/>
        </w:rPr>
        <w:t xml:space="preserve">teaching </w:t>
      </w:r>
      <w:r>
        <w:rPr>
          <w:rFonts w:ascii="Times New Roman" w:hAnsi="Times New Roman" w:eastAsia="Calibri"/>
          <w:bCs/>
          <w:color w:val="000000"/>
          <w:lang w:val="en-GB"/>
        </w:rPr>
        <w:t>experiences. The teaching experience will make the teacher students confident in handling the special needs children in their future classrooms. This idea is in line with K &amp; Shubhra who claims that t</w:t>
      </w:r>
      <w:r>
        <w:rPr>
          <w:rFonts w:ascii="Times New Roman" w:hAnsi="Times New Roman" w:cs="Times New Roman"/>
          <w:lang w:val="en-GB"/>
        </w:rPr>
        <w:t xml:space="preserve">he pre-service teachers should get opportunities to get equipped with the type of knowledge, understanding, skills, interests, and attitude needed for working in inclusive schools. They need to be properly educated or trained in the art and skills of working in the inclusive set-up before beginning their journey as a true professional </w:t>
      </w:r>
      <w:r>
        <w:rPr>
          <w:rFonts w:ascii="Times New Roman" w:hAnsi="Times New Roman" w:cs="Times New Roman"/>
          <w:lang w:val="en-GB"/>
        </w:rPr>
        <w:fldChar w:fldCharType="begin"/>
      </w:r>
      <w:r>
        <w:rPr>
          <w:rFonts w:ascii="Times New Roman" w:hAnsi="Times New Roman" w:cs="Times New Roman"/>
          <w:lang w:val="en-GB"/>
        </w:rPr>
        <w:instrText xml:space="preserve"> ADDIN ZOTERO_ITEM CSL_CITATION {"citationID":"DhI1n8fJ","properties":{"formattedCitation":"(K &amp; SHUBHRA, 2019, p. xiv)","plainCitation":"(K &amp; SHUBHRA, 2019, p. xiv)","noteIndex":0},"citationItems":[{"id":1545,"uris":["http://zotero.org/users/local/T6D5QgKM/items/QCT5JHSG"],"uri":["http://zotero.org/users/local/T6D5QgKM/items/QCT5JHSG"],"itemData":{"id":1545,"type":"book","abstract":"With the proclamation of human rights and impact of the philosophy of humanism, there has been a worldwide call for providing humane treatment to the disabled and putting an end to their isolation.Written in the same context, the book developed as per the issued directives of NCTE equips its readers with the knowledge, understanding, skills, interests and attitude needed for working in the inclusive schools. It acquaints them with all the essentials related to the nature of the different types of disabilities or impairments, diversities and exceptionalities of the children belonging to an inclusive school, the need and means of introducing the required adaptations in the environmental conditions, curriculum, teaching-learning strategies, teaching-learning aids and equipment, methods of assessing the progress of the diverse children, and likewise so many other things and requirements for fulfilling their responsibilities towards the diverse children in the inclusive set-up of the school.It is primarily designed for the students of secondary and elementary teacher education (B.Ed., B.El. Ed., D.Ed.) of the teacher training institutes.KEY FEATURES•\tFull coverage of the current syllabi prescribed for B. Ed., B. El. Ed. and D. Ed. in a user-friendly language•\tComprehensive description of the various aspects of inclusive education and children with special needs (CWSN) such as historical perspectives to disability and inclusive education, needed pedagogical and assessment approaches for CWSN, educational provisions for the disabled at national and international levels, and so forth•\tInclusion of recent topics such as learning styles in the context of different types of disabilities and CWSN, forms of exclusions on various grounds including disabilities in Indian education, approaches and models of inclusion, individual education programme, assistive and adaptive technologies, and so on•\tComprises chapter-end summary for quick glance of the conceptsTARGET AUDIENCE• B.Ed.• B. El. Ed.• D.Ed.","event-place":"Delhi","ISBN":"978-93-88028-17-2","language":"en","note":"Google-Books-ID: 5cilDwAAQBAJ","number-of-pages":"346","publisher":"PHI Learning Pvt. Ltd.","publisher-place":"Delhi","source":"Google Books","title":"CREATING AN INCLUSIVE SCHOOL","author":[{"family":"K","given":"MANGAL","suffix":"S."},{"family":"SHUBHRA","given":"MANGAL"}],"issued":{"date-parts":[["2019",7,1]]}},"locator":"xiv"}],"schema":"https://github.com/citation-style-language/schema/raw/master/csl-citation.json"} </w:instrText>
      </w:r>
      <w:r>
        <w:rPr>
          <w:rFonts w:ascii="Times New Roman" w:hAnsi="Times New Roman" w:cs="Times New Roman"/>
          <w:lang w:val="en-GB"/>
        </w:rPr>
        <w:fldChar w:fldCharType="separate"/>
      </w:r>
      <w:r>
        <w:rPr>
          <w:rFonts w:ascii="Times New Roman" w:hAnsi="Times New Roman" w:cs="Times New Roman"/>
        </w:rPr>
        <w:t>(K &amp; S</w:t>
      </w:r>
      <w:r>
        <w:rPr>
          <w:rFonts w:ascii="Times New Roman" w:hAnsi="Times New Roman" w:cs="Times New Roman"/>
          <w:lang w:val="en-GB"/>
        </w:rPr>
        <w:t>hubhra</w:t>
      </w:r>
      <w:r>
        <w:rPr>
          <w:rFonts w:ascii="Times New Roman" w:hAnsi="Times New Roman" w:cs="Times New Roman"/>
        </w:rPr>
        <w:t>, 2019, p. xiv)</w:t>
      </w:r>
      <w:r>
        <w:rPr>
          <w:rFonts w:ascii="Times New Roman" w:hAnsi="Times New Roman" w:cs="Times New Roman"/>
          <w:lang w:val="en-GB"/>
        </w:rPr>
        <w:fldChar w:fldCharType="end"/>
      </w:r>
      <w:r>
        <w:rPr>
          <w:rFonts w:ascii="Times New Roman" w:hAnsi="Times New Roman" w:cs="Times New Roman"/>
          <w:lang w:val="en-GB"/>
        </w:rPr>
        <w:t>. Therefore, the idea of equipping the teacher students holistically is crucial before they teach their students.</w:t>
      </w:r>
    </w:p>
    <w:p>
      <w:pPr>
        <w:shd w:val="clear" w:color="auto" w:fill="FFFFFF"/>
        <w:autoSpaceDE w:val="0"/>
        <w:spacing w:after="0"/>
        <w:ind w:firstLine="567"/>
        <w:contextualSpacing/>
        <w:jc w:val="both"/>
        <w:rPr>
          <w:rFonts w:ascii="Times New Roman" w:hAnsi="Times New Roman" w:eastAsia="Arial"/>
          <w:color w:val="000000"/>
          <w:shd w:val="clear" w:color="auto" w:fill="FFFFFF"/>
          <w:lang w:val="en-GB"/>
        </w:rPr>
      </w:pPr>
      <w:r>
        <w:rPr>
          <w:rFonts w:ascii="Times New Roman" w:hAnsi="Times New Roman" w:cs="Times New Roman"/>
          <w:lang w:val="en-US"/>
        </w:rPr>
        <w:t>The TCWDA lecturer’s sharing about her concerns and thoughts during the interview session becomes the second data. First, she thought that it was good for th</w:t>
      </w:r>
      <w:r>
        <w:rPr>
          <w:rFonts w:hint="default" w:ascii="Times New Roman" w:hAnsi="Times New Roman" w:cs="Times New Roman"/>
          <w:lang w:val="en-GB"/>
        </w:rPr>
        <w:t>e</w:t>
      </w:r>
      <w:r>
        <w:rPr>
          <w:rFonts w:ascii="Times New Roman" w:hAnsi="Times New Roman" w:cs="Times New Roman"/>
          <w:lang w:val="en-US"/>
        </w:rPr>
        <w:t xml:space="preserve"> Faculty of Education to hold this TCWDA course for the teacher students. The reason was the</w:t>
      </w:r>
      <w:r>
        <w:rPr>
          <w:rFonts w:hint="default" w:ascii="Times New Roman" w:hAnsi="Times New Roman" w:cs="Times New Roman"/>
          <w:lang w:val="en-GB"/>
        </w:rPr>
        <w:t xml:space="preserve"> teacher students</w:t>
      </w:r>
      <w:r>
        <w:rPr>
          <w:rFonts w:ascii="Times New Roman" w:hAnsi="Times New Roman" w:cs="Times New Roman"/>
          <w:lang w:val="en-US"/>
        </w:rPr>
        <w:t xml:space="preserve"> were expected to be ready to teach some special needs children in their future classrooms. Second, through this course, the teacher students learned some topics about (1) e</w:t>
      </w:r>
      <w:r>
        <w:rPr>
          <w:rFonts w:ascii="Times New Roman" w:hAnsi="Times New Roman" w:eastAsia="Arial"/>
          <w:shd w:val="clear" w:color="auto" w:fill="FFFFFF"/>
        </w:rPr>
        <w:t>ducational services for special needs children</w:t>
      </w:r>
      <w:r>
        <w:rPr>
          <w:rFonts w:ascii="Times New Roman" w:hAnsi="Times New Roman" w:eastAsia="Arial"/>
          <w:shd w:val="clear" w:color="auto" w:fill="FFFFFF"/>
          <w:lang w:val="en-GB"/>
        </w:rPr>
        <w:t>, (2)</w:t>
      </w:r>
      <w:r>
        <w:rPr>
          <w:rFonts w:ascii="Times New Roman" w:hAnsi="Times New Roman" w:eastAsia="Arial"/>
          <w:shd w:val="clear" w:color="auto" w:fill="FFFFFF"/>
        </w:rPr>
        <w:t xml:space="preserve"> Universal Learning Design (UDL) approach</w:t>
      </w:r>
      <w:r>
        <w:rPr>
          <w:rFonts w:ascii="Times New Roman" w:hAnsi="Times New Roman" w:eastAsia="Arial"/>
          <w:shd w:val="clear" w:color="auto" w:fill="FFFFFF"/>
          <w:lang w:val="en-GB"/>
        </w:rPr>
        <w:t xml:space="preserve">, (3) </w:t>
      </w:r>
      <w:r>
        <w:rPr>
          <w:rFonts w:ascii="Times New Roman" w:hAnsi="Times New Roman" w:eastAsia="Arial"/>
          <w:shd w:val="clear" w:color="auto" w:fill="FFFFFF"/>
        </w:rPr>
        <w:t>Individualized Educational Program (IED)</w:t>
      </w:r>
      <w:r>
        <w:rPr>
          <w:rFonts w:ascii="Times New Roman" w:hAnsi="Times New Roman" w:eastAsia="Arial"/>
          <w:shd w:val="clear" w:color="auto" w:fill="FFFFFF"/>
          <w:lang w:val="en-GB"/>
        </w:rPr>
        <w:t>, and (4) l</w:t>
      </w:r>
      <w:r>
        <w:rPr>
          <w:rFonts w:ascii="Times New Roman" w:hAnsi="Times New Roman" w:eastAsia="Arial"/>
          <w:shd w:val="clear" w:color="auto" w:fill="FFFFFF"/>
        </w:rPr>
        <w:t>earning disabilities</w:t>
      </w:r>
      <w:r>
        <w:rPr>
          <w:rFonts w:ascii="Times New Roman" w:hAnsi="Times New Roman" w:eastAsia="Arial"/>
          <w:shd w:val="clear" w:color="auto" w:fill="FFFFFF"/>
          <w:lang w:val="en-GB"/>
        </w:rPr>
        <w:t xml:space="preserve">. </w:t>
      </w:r>
      <w:r>
        <w:rPr>
          <w:rFonts w:hint="default" w:ascii="Times New Roman" w:hAnsi="Times New Roman" w:eastAsia="Arial"/>
          <w:shd w:val="clear" w:color="auto" w:fill="FFFFFF"/>
          <w:lang w:val="en-GB"/>
        </w:rPr>
        <w:t>T</w:t>
      </w:r>
      <w:r>
        <w:rPr>
          <w:rFonts w:ascii="Times New Roman" w:hAnsi="Times New Roman" w:eastAsia="Arial"/>
          <w:shd w:val="clear" w:color="auto" w:fill="FFFFFF"/>
          <w:lang w:val="en-GB"/>
        </w:rPr>
        <w:t xml:space="preserve">hird, she thought 2 credit hours (100 minutes) a week for 16 meetings was not enough to give the teacher students experiences to teach the special needs children. Fourth, it was expected that the Faculty of Education would allow the teacher students to get opportunities to meet the special needs children directly so that they can analyze the phenomena using the theories studied in the classroom. </w:t>
      </w:r>
      <w:r>
        <w:rPr>
          <w:rFonts w:hint="default" w:ascii="Times New Roman" w:hAnsi="Times New Roman" w:eastAsia="Arial"/>
          <w:shd w:val="clear" w:color="auto" w:fill="FFFFFF"/>
          <w:lang w:val="en-GB"/>
        </w:rPr>
        <w:t>Fi</w:t>
      </w:r>
      <w:r>
        <w:rPr>
          <w:rFonts w:ascii="Times New Roman" w:hAnsi="Times New Roman" w:eastAsia="Arial"/>
          <w:shd w:val="clear" w:color="auto" w:fill="FFFFFF"/>
          <w:lang w:val="en-GB"/>
        </w:rPr>
        <w:t xml:space="preserve">fth, she suggested a program during the course where the teacher students could visit inclusion schools to see the real teaching-learning happening in the </w:t>
      </w:r>
      <w:r>
        <w:rPr>
          <w:rFonts w:ascii="Times New Roman" w:hAnsi="Times New Roman" w:eastAsia="Arial"/>
          <w:color w:val="000000"/>
          <w:shd w:val="clear" w:color="auto" w:fill="FFFFFF"/>
          <w:lang w:val="en-GB"/>
        </w:rPr>
        <w:t>classroom.</w:t>
      </w:r>
    </w:p>
    <w:p>
      <w:pPr>
        <w:autoSpaceDE w:val="0"/>
        <w:spacing w:after="0"/>
        <w:ind w:firstLine="567"/>
        <w:contextualSpacing/>
        <w:jc w:val="both"/>
        <w:rPr>
          <w:rFonts w:ascii="Times New Roman" w:hAnsi="Times New Roman"/>
          <w:color w:val="000000"/>
          <w:lang w:val="en-GB"/>
        </w:rPr>
      </w:pPr>
      <w:r>
        <w:rPr>
          <w:rFonts w:ascii="Times New Roman" w:hAnsi="Times New Roman" w:eastAsia="Arial"/>
          <w:color w:val="000000"/>
          <w:shd w:val="clear" w:color="auto" w:fill="FFFFFF"/>
          <w:lang w:val="en-GB"/>
        </w:rPr>
        <w:t>The interview result is interpreted as the following. The Faculty of Education has given the appropriate course for the teacher students to prepare them to teach in any schools including the inclusion schools. However, the allotted credit hours are insufficient for the students to have teaching practice in the inclusion schools or regular schools with special needs children. The TCWDA lecturer’s finding is almost the same as the research d</w:t>
      </w:r>
      <w:r>
        <w:rPr>
          <w:rFonts w:ascii="Times New Roman" w:hAnsi="Times New Roman" w:eastAsia="Calibri"/>
          <w:color w:val="000000"/>
        </w:rPr>
        <w:t xml:space="preserve">one by Buli-Holmberg and Jeyaprathaban </w:t>
      </w:r>
      <w:r>
        <w:rPr>
          <w:rFonts w:ascii="Times New Roman" w:hAnsi="Times New Roman" w:eastAsia="Calibri"/>
          <w:color w:val="000000"/>
        </w:rPr>
        <w:fldChar w:fldCharType="begin"/>
      </w:r>
      <w:r>
        <w:rPr>
          <w:rFonts w:ascii="Times New Roman" w:hAnsi="Times New Roman" w:eastAsia="Calibri"/>
          <w:color w:val="000000"/>
        </w:rPr>
        <w:instrText xml:space="preserve"> ADDIN ZOTERO_ITEM CSL_CITATION {"citationID":"NcN2WiJL","properties":{"formattedCitation":"(Buli-Holmberg &amp; Jeyaprathaban, 2016)","plainCitation":"(Buli-Holmberg &amp; Jeyaprathaban, 2016)","noteIndex":0},"citationItems":[{"id":1246,"uris":["http://zotero.org/users/local/T6D5QgKM/items/2EW5NGUE"],"uri":["http://zotero.org/users/local/T6D5QgKM/items/2EW5NGUE"],"itemData":{"id":1246,"type":"article-journal","abstract":"The present study attempts to evaluate the effective teaching practice for children with special learning needs. The research question framed in the present study for investigation is which practice will be effective in different inclusive classroom settings and what are the factors that contribute for effective practices? Qualitative research was carried out in the present study using the case study method of embedded single case design to answer the research question. This study was carried out in South Norway. Twenty four Schools from four municipalities in three counties were sampled for the present study. Eighty three observations were carried out in the classrooms of selected schools where different inclusive classroom practice was followed. The study observed different inclusive classroom settings namely traditional practice, variety and flexible practice, one to one support practice outside and within the classroom and small groups outside the classroom. The investigators derived different criterion under three categories: 1) interaction 2) support and 3) adaptation for analysing the best inclusive classroom practices. The following criteria were used under the interaction category; teacher interaction and collaboration, teacher and students interaction and collaboration. The criteria used in the support category are general teacher support, special teacher support, teacher supporting student participating in the learning community. The adaptation category has following criteria; classroom facilitation, learning materials and teachers instructions. The result of the study showed that each type of practice has its own advantages and disadvantages in the education of children with special needs. The strength and weakness of each practice were analysed. The finding from the traditional practice shows that those students that need special support do not get the support they need to master their learning. Under the one to one support practice the students got the support they needed to master their learning and they had positive interaction with the teacher in the students' learning process, and the same results were found with one to one support inside the classroom. In small group practice the students had more support and a closer interaction with the teacher than in the traditional practice. The present study concluded that varied and flexible practice in the classroom had met all the criteria listed by the investigators and served the necessary learning requirements of children with special needs. Whereas the remaining four practices had served children with special need to a certain extent only. The study stated that there is a lack of expertise on the part of the general teachers to deliver adapted teaching learning process in an inclusive classroom practice. The study implied a need to build competencies on the part of the general teachers and provide necessary teaching - learning interaction, support and adaptation in all type of inclusive practices.","container-title":"International Journal of Special Education","ISSN":"0827-3383","issue":"1","language":"en","note":"publisher: International Journal of Special Education","page":"119-134","source":"ERIC","title":"Effective Practice in Inclusive and Special Needs Education","volume":"31","author":[{"family":"Buli-Holmberg","given":"Jorun"},{"family":"Jeyaprathaban","given":"Sujathamalini"}],"issued":{"date-parts":[["2016"]]}}}],"schema":"https://github.com/citation-style-language/schema/raw/master/csl-citation.json"} </w:instrText>
      </w:r>
      <w:r>
        <w:rPr>
          <w:rFonts w:ascii="Times New Roman" w:hAnsi="Times New Roman" w:eastAsia="Calibri"/>
          <w:color w:val="000000"/>
        </w:rPr>
        <w:fldChar w:fldCharType="separate"/>
      </w:r>
      <w:r>
        <w:rPr>
          <w:rFonts w:ascii="Times New Roman" w:hAnsi="Times New Roman" w:eastAsia="Calibri" w:cs="Times New Roman"/>
        </w:rPr>
        <w:t>(Buli-Holmberg &amp; Jeyaprathaban, 2016)</w:t>
      </w:r>
      <w:r>
        <w:rPr>
          <w:rFonts w:ascii="Times New Roman" w:hAnsi="Times New Roman" w:eastAsia="Calibri"/>
          <w:color w:val="000000"/>
        </w:rPr>
        <w:fldChar w:fldCharType="end"/>
      </w:r>
      <w:r>
        <w:rPr>
          <w:rFonts w:ascii="Times New Roman" w:hAnsi="Times New Roman" w:eastAsia="Calibri"/>
          <w:color w:val="000000"/>
        </w:rPr>
        <w:t xml:space="preserve">. The research was </w:t>
      </w:r>
      <w:r>
        <w:rPr>
          <w:rFonts w:ascii="Times New Roman" w:hAnsi="Times New Roman"/>
          <w:color w:val="000000"/>
        </w:rPr>
        <w:t xml:space="preserve">to evaluate the effective teaching practice for children with special learning needs in South Norway schools. The study stated that there was a lack of expertise on the part of the general teachers to deliver an adapted teaching-learning process in inclusive classroom practice. The study implied a need to build competencies on the part of the general teachers and provide necessary teaching-learning interaction, support, and adaptation in all types of inclusive practices. </w:t>
      </w:r>
      <w:r>
        <w:rPr>
          <w:rFonts w:ascii="Times New Roman" w:hAnsi="Times New Roman"/>
          <w:color w:val="000000"/>
          <w:lang w:val="en-GB"/>
        </w:rPr>
        <w:t xml:space="preserve">As a conclusion of the interview and </w:t>
      </w:r>
      <w:r>
        <w:rPr>
          <w:rFonts w:ascii="Times New Roman" w:hAnsi="Times New Roman" w:eastAsia="Calibri"/>
          <w:color w:val="000000"/>
        </w:rPr>
        <w:t>Buli-Holmberg and Jeyaprathaban</w:t>
      </w:r>
      <w:r>
        <w:rPr>
          <w:rFonts w:ascii="Times New Roman" w:hAnsi="Times New Roman" w:eastAsia="Calibri"/>
          <w:color w:val="000000"/>
          <w:lang w:val="en-GB"/>
        </w:rPr>
        <w:t>’s research, it is suggested that the teacher students have to build all competencies needed by doing classroom practice in inclusive schools.</w:t>
      </w:r>
    </w:p>
    <w:p>
      <w:pPr>
        <w:pStyle w:val="12"/>
        <w:autoSpaceDE w:val="0"/>
        <w:spacing w:before="0" w:beforeAutospacing="0" w:after="0" w:afterAutospacing="0" w:line="276" w:lineRule="auto"/>
        <w:ind w:firstLine="567"/>
        <w:contextualSpacing/>
        <w:jc w:val="both"/>
        <w:rPr>
          <w:rFonts w:ascii="Times New Roman" w:hAnsi="Times New Roman"/>
          <w:color w:val="000000"/>
          <w:sz w:val="22"/>
          <w:szCs w:val="22"/>
        </w:rPr>
      </w:pPr>
      <w:r>
        <w:rPr>
          <w:rFonts w:ascii="Times New Roman" w:hAnsi="Times New Roman"/>
          <w:sz w:val="22"/>
          <w:szCs w:val="22"/>
        </w:rPr>
        <w:t>After studying the TCWDA course syllabus, there were some data gathered. It becomes the third data. First, the course was given to the first-year teacher students. The second, the course was given 2 credit</w:t>
      </w:r>
      <w:r>
        <w:rPr>
          <w:rFonts w:hint="default" w:ascii="Times New Roman" w:hAnsi="Times New Roman"/>
          <w:sz w:val="22"/>
          <w:szCs w:val="22"/>
          <w:lang w:val="en-GB"/>
        </w:rPr>
        <w:t xml:space="preserve"> hours</w:t>
      </w:r>
      <w:r>
        <w:rPr>
          <w:rFonts w:ascii="Times New Roman" w:hAnsi="Times New Roman"/>
          <w:sz w:val="22"/>
          <w:szCs w:val="22"/>
        </w:rPr>
        <w:t xml:space="preserve"> (100 minutes) in a week for 16 meetings during the semester. It include</w:t>
      </w:r>
      <w:r>
        <w:rPr>
          <w:rFonts w:hint="default" w:ascii="Times New Roman" w:hAnsi="Times New Roman"/>
          <w:sz w:val="22"/>
          <w:szCs w:val="22"/>
          <w:lang w:val="en-GB"/>
        </w:rPr>
        <w:t>d</w:t>
      </w:r>
      <w:r>
        <w:rPr>
          <w:rFonts w:ascii="Times New Roman" w:hAnsi="Times New Roman"/>
          <w:sz w:val="22"/>
          <w:szCs w:val="22"/>
        </w:rPr>
        <w:t xml:space="preserve"> the implementation of the assessments. Third, the TCWDA was described as a course </w:t>
      </w:r>
      <w:r>
        <w:rPr>
          <w:rFonts w:hint="default" w:ascii="Times New Roman" w:hAnsi="Times New Roman"/>
          <w:sz w:val="22"/>
          <w:szCs w:val="22"/>
          <w:lang w:val="en-GB"/>
        </w:rPr>
        <w:t>which</w:t>
      </w:r>
      <w:r>
        <w:rPr>
          <w:rFonts w:ascii="Times New Roman" w:hAnsi="Times New Roman"/>
          <w:sz w:val="22"/>
          <w:szCs w:val="22"/>
        </w:rPr>
        <w:t xml:space="preserve"> explained that every human being including the special needs children was created by God uniquely and specially. This course assisted the teacher students to be able to know, understand, explain, and classify the learning abilities of special needs children, as well as design the teaching strategy based on the students' needs. This course also prepared the teacher students to be reflective, responsive, and responsible Christian teachers for teaching especially the inclusion schools appropriately and effectively in the light of the Holy Spirit guidance. </w:t>
      </w:r>
      <w:r>
        <w:rPr>
          <w:rFonts w:hint="default" w:ascii="Times New Roman" w:hAnsi="Times New Roman"/>
          <w:sz w:val="22"/>
          <w:szCs w:val="22"/>
          <w:lang w:val="en-GB"/>
        </w:rPr>
        <w:t>F</w:t>
      </w:r>
      <w:r>
        <w:rPr>
          <w:rFonts w:ascii="Times New Roman" w:hAnsi="Times New Roman"/>
          <w:sz w:val="22"/>
          <w:szCs w:val="22"/>
        </w:rPr>
        <w:t xml:space="preserve">ourth, </w:t>
      </w:r>
      <w:r>
        <w:rPr>
          <w:rFonts w:ascii="Times New Roman" w:hAnsi="Times New Roman" w:eastAsia="Calibri"/>
          <w:sz w:val="22"/>
          <w:szCs w:val="22"/>
        </w:rPr>
        <w:t xml:space="preserve">the Program Learning Objectives of the course were as follow: (1) </w:t>
      </w:r>
      <w:r>
        <w:rPr>
          <w:rFonts w:hint="default" w:ascii="Times New Roman" w:hAnsi="Times New Roman" w:eastAsia="Calibri"/>
          <w:sz w:val="22"/>
          <w:szCs w:val="22"/>
          <w:lang w:val="en-GB"/>
        </w:rPr>
        <w:t>t</w:t>
      </w:r>
      <w:r>
        <w:rPr>
          <w:rFonts w:ascii="Times New Roman" w:hAnsi="Times New Roman"/>
          <w:sz w:val="22"/>
          <w:szCs w:val="22"/>
        </w:rPr>
        <w:t xml:space="preserve">he students </w:t>
      </w:r>
      <w:r>
        <w:rPr>
          <w:rFonts w:hint="default" w:ascii="Times New Roman" w:hAnsi="Times New Roman"/>
          <w:sz w:val="22"/>
          <w:szCs w:val="22"/>
          <w:lang w:val="en-GB"/>
        </w:rPr>
        <w:t>were</w:t>
      </w:r>
      <w:r>
        <w:rPr>
          <w:rFonts w:ascii="Times New Roman" w:hAnsi="Times New Roman"/>
          <w:sz w:val="22"/>
          <w:szCs w:val="22"/>
        </w:rPr>
        <w:t xml:space="preserve"> expected to have sincerity and commitment to developing the attitudes, values, and abilities of students as Image of God</w:t>
      </w:r>
      <w:r>
        <w:rPr>
          <w:rFonts w:ascii="Times New Roman" w:hAnsi="Times New Roman"/>
          <w:sz w:val="22"/>
          <w:szCs w:val="22"/>
          <w:lang w:val="en-GB"/>
        </w:rPr>
        <w:t xml:space="preserve">; (2) </w:t>
      </w:r>
      <w:r>
        <w:rPr>
          <w:rFonts w:hint="default" w:ascii="Times New Roman" w:hAnsi="Times New Roman"/>
          <w:sz w:val="22"/>
          <w:szCs w:val="22"/>
          <w:lang w:val="en-GB"/>
        </w:rPr>
        <w:t>t</w:t>
      </w:r>
      <w:r>
        <w:rPr>
          <w:rFonts w:ascii="Times New Roman" w:hAnsi="Times New Roman"/>
          <w:sz w:val="22"/>
          <w:szCs w:val="22"/>
        </w:rPr>
        <w:t xml:space="preserve">he students </w:t>
      </w:r>
      <w:r>
        <w:rPr>
          <w:rFonts w:hint="default" w:ascii="Times New Roman" w:hAnsi="Times New Roman"/>
          <w:sz w:val="22"/>
          <w:szCs w:val="22"/>
          <w:lang w:val="en-GB"/>
        </w:rPr>
        <w:t>were</w:t>
      </w:r>
      <w:r>
        <w:rPr>
          <w:rFonts w:ascii="Times New Roman" w:hAnsi="Times New Roman"/>
          <w:sz w:val="22"/>
          <w:szCs w:val="22"/>
        </w:rPr>
        <w:t xml:space="preserve"> expected to make decisions with God’s wisdom in the context of solving problems in their field of expertise, based on the results of reliable analysis of information and data</w:t>
      </w:r>
      <w:r>
        <w:rPr>
          <w:rFonts w:ascii="Times New Roman" w:hAnsi="Times New Roman" w:eastAsia="Arial"/>
          <w:sz w:val="22"/>
          <w:szCs w:val="22"/>
          <w:shd w:val="clear" w:color="auto" w:fill="FFFFFF"/>
          <w:lang w:val="en-GB"/>
        </w:rPr>
        <w:t xml:space="preserve">; (3) </w:t>
      </w:r>
      <w:r>
        <w:rPr>
          <w:rFonts w:hint="default" w:ascii="Times New Roman" w:hAnsi="Times New Roman" w:eastAsia="Arial"/>
          <w:sz w:val="22"/>
          <w:szCs w:val="22"/>
          <w:shd w:val="clear" w:color="auto" w:fill="FFFFFF"/>
          <w:lang w:val="en-GB"/>
        </w:rPr>
        <w:t>t</w:t>
      </w:r>
      <w:r>
        <w:rPr>
          <w:rFonts w:ascii="Times New Roman" w:hAnsi="Times New Roman"/>
          <w:sz w:val="22"/>
          <w:szCs w:val="22"/>
        </w:rPr>
        <w:t xml:space="preserve">he students </w:t>
      </w:r>
      <w:r>
        <w:rPr>
          <w:rFonts w:hint="default" w:ascii="Times New Roman" w:hAnsi="Times New Roman"/>
          <w:sz w:val="22"/>
          <w:szCs w:val="22"/>
          <w:lang w:val="en-GB"/>
        </w:rPr>
        <w:t>were</w:t>
      </w:r>
      <w:r>
        <w:rPr>
          <w:rFonts w:ascii="Times New Roman" w:hAnsi="Times New Roman"/>
          <w:sz w:val="22"/>
          <w:szCs w:val="22"/>
        </w:rPr>
        <w:t xml:space="preserve"> expected to master the concepts, principles, and application of various learning methods centered on Christ</w:t>
      </w:r>
      <w:r>
        <w:rPr>
          <w:rFonts w:ascii="Times New Roman" w:hAnsi="Times New Roman" w:eastAsia="Arial"/>
          <w:sz w:val="22"/>
          <w:szCs w:val="22"/>
          <w:shd w:val="clear" w:color="auto" w:fill="FFFFFF"/>
        </w:rPr>
        <w:t xml:space="preserve">. </w:t>
      </w:r>
      <w:r>
        <w:rPr>
          <w:rFonts w:hint="default" w:ascii="Times New Roman" w:hAnsi="Times New Roman" w:eastAsia="Arial"/>
          <w:sz w:val="22"/>
          <w:szCs w:val="22"/>
          <w:shd w:val="clear" w:color="auto" w:fill="FFFFFF"/>
          <w:lang w:val="en-GB"/>
        </w:rPr>
        <w:t>F</w:t>
      </w:r>
      <w:r>
        <w:rPr>
          <w:rFonts w:ascii="Times New Roman" w:hAnsi="Times New Roman" w:eastAsia="Arial"/>
          <w:sz w:val="22"/>
          <w:szCs w:val="22"/>
          <w:shd w:val="clear" w:color="auto" w:fill="FFFFFF"/>
          <w:lang w:val="en-GB"/>
        </w:rPr>
        <w:t xml:space="preserve">ifth, </w:t>
      </w:r>
      <w:r>
        <w:rPr>
          <w:rFonts w:ascii="Times New Roman" w:hAnsi="Times New Roman" w:eastAsia="Calibri"/>
          <w:sz w:val="22"/>
          <w:szCs w:val="22"/>
        </w:rPr>
        <w:t>the Competencies Learning Objectives of the course were as follow: (1)</w:t>
      </w:r>
      <w:r>
        <w:rPr>
          <w:rFonts w:ascii="Times New Roman" w:hAnsi="Times New Roman"/>
          <w:sz w:val="22"/>
          <w:szCs w:val="22"/>
        </w:rPr>
        <w:t xml:space="preserve"> </w:t>
      </w:r>
      <w:r>
        <w:rPr>
          <w:rFonts w:ascii="Times New Roman" w:hAnsi="Times New Roman"/>
          <w:sz w:val="22"/>
          <w:szCs w:val="22"/>
          <w:lang w:val="en-GB"/>
        </w:rPr>
        <w:t>the teacher students were able to identify the special need</w:t>
      </w:r>
      <w:r>
        <w:rPr>
          <w:rFonts w:hint="default" w:ascii="Times New Roman" w:hAnsi="Times New Roman"/>
          <w:sz w:val="22"/>
          <w:szCs w:val="22"/>
          <w:lang w:val="en-GB"/>
        </w:rPr>
        <w:t>s</w:t>
      </w:r>
      <w:r>
        <w:rPr>
          <w:rFonts w:ascii="Times New Roman" w:hAnsi="Times New Roman"/>
          <w:sz w:val="22"/>
          <w:szCs w:val="22"/>
          <w:lang w:val="en-GB"/>
        </w:rPr>
        <w:t xml:space="preserve"> children based on the characteristics; (2) the teacher students were able to </w:t>
      </w:r>
      <w:r>
        <w:rPr>
          <w:rFonts w:ascii="Times New Roman" w:hAnsi="Times New Roman"/>
          <w:sz w:val="22"/>
          <w:szCs w:val="22"/>
        </w:rPr>
        <w:t>explain the inclusi</w:t>
      </w:r>
      <w:r>
        <w:rPr>
          <w:rFonts w:hint="default" w:ascii="Times New Roman" w:hAnsi="Times New Roman"/>
          <w:sz w:val="22"/>
          <w:szCs w:val="22"/>
          <w:lang w:val="en-GB"/>
        </w:rPr>
        <w:t>ve</w:t>
      </w:r>
      <w:r>
        <w:rPr>
          <w:rFonts w:ascii="Times New Roman" w:hAnsi="Times New Roman"/>
          <w:sz w:val="22"/>
          <w:szCs w:val="22"/>
        </w:rPr>
        <w:t xml:space="preserve"> education and special need children based on the biblical perspective as well as its teaching challenges; and (3) the teacher students were able to analyze the problems of special need children and determine the appropriate teaching strategy. </w:t>
      </w:r>
    </w:p>
    <w:p>
      <w:pPr>
        <w:shd w:val="clear" w:color="auto" w:fill="FFFFFF"/>
        <w:autoSpaceDE w:val="0"/>
        <w:spacing w:after="0"/>
        <w:ind w:firstLine="567"/>
        <w:contextualSpacing/>
        <w:jc w:val="both"/>
        <w:rPr>
          <w:rFonts w:ascii="Times New Roman" w:hAnsi="Times New Roman" w:eastAsia="Arial" w:cs="Times New Roman"/>
          <w:color w:val="000000"/>
          <w:shd w:val="clear" w:color="auto" w:fill="FFFFFF"/>
          <w:lang w:val="en-US"/>
        </w:rPr>
      </w:pPr>
      <w:r>
        <w:rPr>
          <w:rFonts w:hint="default" w:ascii="Times New Roman" w:hAnsi="Times New Roman" w:cs="Times New Roman"/>
          <w:lang w:val="en-GB"/>
        </w:rPr>
        <w:t>S</w:t>
      </w:r>
      <w:r>
        <w:rPr>
          <w:rFonts w:ascii="Times New Roman" w:hAnsi="Times New Roman" w:cs="Times New Roman"/>
          <w:lang w:val="en-US"/>
        </w:rPr>
        <w:t xml:space="preserve">ixth, the course applied various learning methods. They were lecturing, question and answer, discussion, independent individual learning through material posted in Moodle, and group presentation. </w:t>
      </w:r>
      <w:r>
        <w:rPr>
          <w:rFonts w:hint="default" w:ascii="Times New Roman" w:hAnsi="Times New Roman" w:cs="Times New Roman"/>
          <w:lang w:val="en-GB"/>
        </w:rPr>
        <w:t>S</w:t>
      </w:r>
      <w:r>
        <w:rPr>
          <w:rFonts w:ascii="Times New Roman" w:hAnsi="Times New Roman" w:cs="Times New Roman"/>
          <w:lang w:val="en-US"/>
        </w:rPr>
        <w:t xml:space="preserve">eventh, there were some references used. They were about (1) educational psychology, (2) teaching children with diverse abilities with effective strategies, and (3) teaching in inclusion schools. </w:t>
      </w:r>
      <w:r>
        <w:rPr>
          <w:rFonts w:hint="default" w:ascii="Times New Roman" w:hAnsi="Times New Roman" w:cs="Times New Roman"/>
          <w:lang w:val="en-GB"/>
        </w:rPr>
        <w:t>E</w:t>
      </w:r>
      <w:r>
        <w:rPr>
          <w:rFonts w:ascii="Times New Roman" w:hAnsi="Times New Roman" w:cs="Times New Roman"/>
          <w:lang w:val="en-US"/>
        </w:rPr>
        <w:t xml:space="preserve">ighth, among some class rules stated in the syllabus, the two important points were the teacher students should attend the course for 13 meetings as the minimal and they had to uphold the academic and non-academic integrity according to the policies written in the Student Handbook. </w:t>
      </w:r>
      <w:r>
        <w:rPr>
          <w:rFonts w:hint="default" w:ascii="Times New Roman" w:hAnsi="Times New Roman" w:cs="Times New Roman"/>
          <w:lang w:val="en-GB"/>
        </w:rPr>
        <w:t>N</w:t>
      </w:r>
      <w:r>
        <w:rPr>
          <w:rFonts w:ascii="Times New Roman" w:hAnsi="Times New Roman" w:cs="Times New Roman"/>
          <w:lang w:val="en-US"/>
        </w:rPr>
        <w:t xml:space="preserve">inth, there were four assessments given with their rubrics and guidelines. They were (1) formative 1 (20%) – individual quiz/reflection/a case study on </w:t>
      </w:r>
      <w:r>
        <w:rPr>
          <w:rFonts w:hint="default" w:ascii="Times New Roman" w:hAnsi="Times New Roman" w:cs="Times New Roman"/>
          <w:lang w:val="en-GB"/>
        </w:rPr>
        <w:t>e</w:t>
      </w:r>
      <w:r>
        <w:rPr>
          <w:rFonts w:ascii="Times New Roman" w:hAnsi="Times New Roman" w:eastAsia="Arial"/>
          <w:color w:val="000000"/>
          <w:shd w:val="clear" w:color="auto" w:fill="FFFFFF"/>
        </w:rPr>
        <w:t>ducational services for special need children</w:t>
      </w:r>
      <w:r>
        <w:rPr>
          <w:rFonts w:ascii="Times New Roman" w:hAnsi="Times New Roman" w:cs="Times New Roman"/>
          <w:lang w:val="en-US"/>
        </w:rPr>
        <w:t xml:space="preserve">, (2) formative 2 (20%) – individual quiz/reflection/a case study on </w:t>
      </w:r>
      <w:r>
        <w:rPr>
          <w:rFonts w:ascii="Times New Roman" w:hAnsi="Times New Roman" w:eastAsia="Arial"/>
          <w:color w:val="000000"/>
          <w:shd w:val="clear" w:color="auto" w:fill="FFFFFF"/>
        </w:rPr>
        <w:t>Universal Learning Design (UDL) approach,</w:t>
      </w:r>
      <w:r>
        <w:rPr>
          <w:rFonts w:ascii="Times New Roman" w:hAnsi="Times New Roman" w:cs="Times New Roman"/>
          <w:lang w:val="en-US"/>
        </w:rPr>
        <w:t xml:space="preserve"> (3) Mid Term Test (30%) – group presentation on kinds of disabilities, and (4) Final Test (30%) – group project on </w:t>
      </w:r>
      <w:r>
        <w:rPr>
          <w:rFonts w:ascii="Times New Roman" w:hAnsi="Times New Roman" w:eastAsia="Arial"/>
          <w:color w:val="000000"/>
          <w:shd w:val="clear" w:color="auto" w:fill="FFFFFF"/>
        </w:rPr>
        <w:t>Individualized Educational Program (IED)</w:t>
      </w:r>
      <w:r>
        <w:rPr>
          <w:rFonts w:ascii="Times New Roman" w:hAnsi="Times New Roman" w:eastAsia="Arial"/>
          <w:color w:val="000000"/>
          <w:shd w:val="clear" w:color="auto" w:fill="FFFFFF"/>
          <w:lang w:val="en-GB"/>
        </w:rPr>
        <w:t>. Tenth, the lesson plans were as follow: (1) meeting 1-2 talked about the e</w:t>
      </w:r>
      <w:r>
        <w:rPr>
          <w:rFonts w:ascii="Times New Roman" w:hAnsi="Times New Roman" w:eastAsia="Arial"/>
          <w:color w:val="000000"/>
          <w:shd w:val="clear" w:color="auto" w:fill="FFFFFF"/>
        </w:rPr>
        <w:t xml:space="preserve">ducational services for special need children; (2) </w:t>
      </w:r>
      <w:r>
        <w:rPr>
          <w:rFonts w:ascii="Times New Roman" w:hAnsi="Times New Roman" w:eastAsia="Arial"/>
          <w:color w:val="000000"/>
          <w:shd w:val="clear" w:color="auto" w:fill="FFFFFF"/>
          <w:lang w:val="en-GB"/>
        </w:rPr>
        <w:t xml:space="preserve">meeting 3 discussed </w:t>
      </w:r>
      <w:r>
        <w:rPr>
          <w:rFonts w:ascii="Times New Roman" w:hAnsi="Times New Roman" w:eastAsia="Arial"/>
          <w:color w:val="000000"/>
          <w:shd w:val="clear" w:color="auto" w:fill="FFFFFF"/>
        </w:rPr>
        <w:t>Universal Learning Design (UDL) approach</w:t>
      </w:r>
      <w:r>
        <w:rPr>
          <w:rFonts w:ascii="Times New Roman" w:hAnsi="Times New Roman" w:eastAsia="Arial"/>
          <w:color w:val="000000"/>
          <w:shd w:val="clear" w:color="auto" w:fill="FFFFFF"/>
          <w:lang w:val="en-GB"/>
        </w:rPr>
        <w:t>;</w:t>
      </w:r>
      <w:r>
        <w:rPr>
          <w:rFonts w:ascii="Times New Roman" w:hAnsi="Times New Roman" w:eastAsia="Arial"/>
          <w:color w:val="000000"/>
          <w:shd w:val="clear" w:color="auto" w:fill="FFFFFF"/>
        </w:rPr>
        <w:t xml:space="preserve"> (</w:t>
      </w:r>
      <w:r>
        <w:rPr>
          <w:rFonts w:ascii="Times New Roman" w:hAnsi="Times New Roman" w:eastAsia="Arial"/>
          <w:color w:val="000000"/>
          <w:shd w:val="clear" w:color="auto" w:fill="FFFFFF"/>
          <w:lang w:val="en-GB"/>
        </w:rPr>
        <w:t>3</w:t>
      </w:r>
      <w:r>
        <w:rPr>
          <w:rFonts w:ascii="Times New Roman" w:hAnsi="Times New Roman" w:eastAsia="Arial"/>
          <w:color w:val="000000"/>
          <w:shd w:val="clear" w:color="auto" w:fill="FFFFFF"/>
        </w:rPr>
        <w:t xml:space="preserve">) </w:t>
      </w:r>
      <w:r>
        <w:rPr>
          <w:rFonts w:ascii="Times New Roman" w:hAnsi="Times New Roman" w:eastAsia="Arial"/>
          <w:color w:val="000000"/>
          <w:shd w:val="clear" w:color="auto" w:fill="FFFFFF"/>
          <w:lang w:val="en-GB"/>
        </w:rPr>
        <w:t xml:space="preserve">meeting 4 talked about </w:t>
      </w:r>
      <w:r>
        <w:rPr>
          <w:rFonts w:ascii="Times New Roman" w:hAnsi="Times New Roman" w:eastAsia="Arial"/>
          <w:color w:val="000000"/>
          <w:shd w:val="clear" w:color="auto" w:fill="FFFFFF"/>
        </w:rPr>
        <w:t>Individualized Educational Program (IED)</w:t>
      </w:r>
      <w:r>
        <w:rPr>
          <w:rFonts w:ascii="Times New Roman" w:hAnsi="Times New Roman" w:eastAsia="Arial"/>
          <w:color w:val="000000"/>
          <w:shd w:val="clear" w:color="auto" w:fill="FFFFFF"/>
          <w:lang w:val="en-GB"/>
        </w:rPr>
        <w:t>; (4) meeting 5-14 discussed kinds of disabilities; (5) meeting 15 reviewed all the materials; and (6) meeting 16 was the Final Test.</w:t>
      </w:r>
    </w:p>
    <w:p>
      <w:pPr>
        <w:shd w:val="clear" w:color="auto" w:fill="FFFFFF"/>
        <w:autoSpaceDE w:val="0"/>
        <w:spacing w:after="0"/>
        <w:ind w:firstLine="720"/>
        <w:contextualSpacing/>
        <w:jc w:val="both"/>
        <w:rPr>
          <w:rFonts w:ascii="Times New Roman" w:hAnsi="Times New Roman" w:eastAsia="Arial" w:cs="Times New Roman"/>
          <w:color w:val="000000"/>
          <w:shd w:val="clear" w:color="auto" w:fill="FFFFFF"/>
          <w:lang w:val="en-US"/>
        </w:rPr>
      </w:pPr>
      <w:r>
        <w:rPr>
          <w:rFonts w:ascii="Times New Roman" w:hAnsi="Times New Roman" w:eastAsia="Arial" w:cs="Times New Roman"/>
          <w:color w:val="000000"/>
          <w:shd w:val="clear" w:color="auto" w:fill="FFFFFF"/>
          <w:lang w:val="en-US"/>
        </w:rPr>
        <w:t xml:space="preserve">Based on the document analysis as third data, it is concluded that the Competencies Learning Objectives are not in tune with the Program Learning Objectives. The Program Learning Objectives are derivative from the Graduate Profile. Whereas, the assessments are derivative from the Competencies Learning Objectives. It means that assessments designed and implemented do not achieve the Graduate Profile. Dewi stated that competency is an ability or a skill of a person to act, behave, and think consistently. It is the embodiment of attitude, knowledge, and skill. So, the competencies learning objectives are the standard to achieve after the students' study </w:t>
      </w:r>
      <w:r>
        <w:rPr>
          <w:rFonts w:ascii="Times New Roman" w:hAnsi="Times New Roman" w:eastAsia="Arial" w:cs="Times New Roman"/>
          <w:color w:val="000000"/>
          <w:shd w:val="clear" w:color="auto" w:fill="FFFFFF"/>
          <w:lang w:val="en-US"/>
        </w:rPr>
        <w:fldChar w:fldCharType="begin"/>
      </w:r>
      <w:r>
        <w:rPr>
          <w:rFonts w:ascii="Times New Roman" w:hAnsi="Times New Roman" w:eastAsia="Arial" w:cs="Times New Roman"/>
          <w:color w:val="000000"/>
          <w:shd w:val="clear" w:color="auto" w:fill="FFFFFF"/>
          <w:lang w:val="en-US"/>
        </w:rPr>
        <w:instrText xml:space="preserve"> ADDIN ZOTERO_ITEM CSL_CITATION {"citationID":"OFCJDqdk","properties":{"formattedCitation":"(Dewi, 2020, p. 146)","plainCitation":"(Dewi, 2020, p. 146)","noteIndex":0},"citationItems":[{"id":1421,"uris":["http://zotero.org/users/local/T6D5QgKM/items/Q6MYMC5U"],"uri":["http://zotero.org/users/local/T6D5QgKM/items/Q6MYMC5U"],"itemData":{"id":1421,"type":"article-journal","abstract":"Penelitian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dirumah","container-title":"EDUKATIF : JURNAL ILMU PENDIDIKAN","DOI":"10.31004/edukatif.v2i1.89","ISSN":"2656-8071","issue":"1","language":"id","note":"number: 1","page":"55-61","source":"www.edukatif.org","title":"Dampak COVID-19 terhadap Implementasi Pembelajaran Daring di Sekolah Dasar","volume":"2","author":[{"family":"Dewi","given":"Wahyu Aji Fatma"}],"issued":{"date-parts":[["2020",4,29]]}},"locator":"146"}],"schema":"https://github.com/citation-style-language/schema/raw/master/csl-citation.json"} </w:instrText>
      </w:r>
      <w:r>
        <w:rPr>
          <w:rFonts w:ascii="Times New Roman" w:hAnsi="Times New Roman" w:eastAsia="Arial" w:cs="Times New Roman"/>
          <w:color w:val="000000"/>
          <w:shd w:val="clear" w:color="auto" w:fill="FFFFFF"/>
          <w:lang w:val="en-US"/>
        </w:rPr>
        <w:fldChar w:fldCharType="separate"/>
      </w:r>
      <w:r>
        <w:rPr>
          <w:rFonts w:ascii="Times New Roman" w:hAnsi="Times New Roman" w:eastAsia="Arial" w:cs="Times New Roman"/>
        </w:rPr>
        <w:t>(Dewi, 2020, p. 146)</w:t>
      </w:r>
      <w:r>
        <w:rPr>
          <w:rFonts w:ascii="Times New Roman" w:hAnsi="Times New Roman" w:eastAsia="Arial" w:cs="Times New Roman"/>
          <w:color w:val="000000"/>
          <w:shd w:val="clear" w:color="auto" w:fill="FFFFFF"/>
          <w:lang w:val="en-US"/>
        </w:rPr>
        <w:fldChar w:fldCharType="end"/>
      </w:r>
      <w:r>
        <w:rPr>
          <w:rFonts w:ascii="Times New Roman" w:hAnsi="Times New Roman" w:eastAsia="Arial" w:cs="Times New Roman"/>
          <w:color w:val="000000"/>
          <w:shd w:val="clear" w:color="auto" w:fill="FFFFFF"/>
          <w:lang w:val="en-US"/>
        </w:rPr>
        <w:t xml:space="preserve">. As a consequence, the competencies planned should be the derivative of the Graduate Profile. </w:t>
      </w:r>
    </w:p>
    <w:p>
      <w:pPr>
        <w:autoSpaceDE w:val="0"/>
        <w:spacing w:after="0"/>
        <w:ind w:firstLine="720"/>
        <w:contextualSpacing/>
        <w:jc w:val="both"/>
        <w:rPr>
          <w:rFonts w:ascii="Times New Roman" w:hAnsi="Times New Roman" w:cs="Times New Roman"/>
          <w:lang w:val="en-GB"/>
        </w:rPr>
      </w:pPr>
      <w:r>
        <w:rPr>
          <w:rFonts w:ascii="Times New Roman" w:hAnsi="Times New Roman" w:eastAsia="Arial" w:cs="Times New Roman"/>
          <w:color w:val="000000"/>
          <w:shd w:val="clear" w:color="auto" w:fill="FFFFFF"/>
          <w:lang w:val="en-GB"/>
        </w:rPr>
        <w:t xml:space="preserve">The summary from the three data above shows that the TCWDA course needs a program that will facilitate the students to achieve the Graduate Profile. The alternative solution offered is the field experience program. The idea is supported by the previous research result. </w:t>
      </w:r>
      <w:r>
        <w:rPr>
          <w:rFonts w:ascii="Times New Roman" w:hAnsi="Times New Roman"/>
          <w:color w:val="000000"/>
        </w:rPr>
        <w:t xml:space="preserve">The </w:t>
      </w:r>
      <w:r>
        <w:rPr>
          <w:rFonts w:ascii="Times New Roman" w:hAnsi="Times New Roman"/>
          <w:color w:val="000000"/>
          <w:lang w:val="en-GB"/>
        </w:rPr>
        <w:t>first</w:t>
      </w:r>
      <w:r>
        <w:rPr>
          <w:rFonts w:ascii="Times New Roman" w:hAnsi="Times New Roman"/>
          <w:color w:val="000000"/>
        </w:rPr>
        <w:t xml:space="preserve"> research was conducted by </w:t>
      </w:r>
      <w:r>
        <w:rPr>
          <w:rFonts w:ascii="Times New Roman" w:hAnsi="Times New Roman" w:eastAsia="Calibri"/>
          <w:color w:val="000000"/>
        </w:rPr>
        <w:t>Deku and Vanderpuye</w:t>
      </w:r>
      <w:r>
        <w:rPr>
          <w:rFonts w:ascii="Times New Roman" w:hAnsi="Times New Roman"/>
          <w:color w:val="000000"/>
        </w:rPr>
        <w:t xml:space="preserve"> about the perspectives of teachers regarding inclusive education in Ghana. It was recommended that teachers' preparation programs must have a component of inclusive education courses to enable the prospective teachers to acquire the skills of teaching children with special needs</w:t>
      </w:r>
      <w:r>
        <w:rPr>
          <w:rFonts w:ascii="Times New Roman" w:hAnsi="Times New Roman" w:cs="Times New Roman"/>
        </w:rPr>
        <w:t xml:space="preserve"> (Deku &amp; Vanderpuye, 2017</w:t>
      </w:r>
      <w:r>
        <w:rPr>
          <w:rFonts w:ascii="Times New Roman" w:hAnsi="Times New Roman" w:cs="Times New Roman"/>
          <w:lang w:val="en-GB"/>
        </w:rPr>
        <w:t xml:space="preserve">). Here, the Faculty of Education has done the recommendation that is having an inclusive education under the TCWDA course. </w:t>
      </w:r>
    </w:p>
    <w:p>
      <w:pPr>
        <w:autoSpaceDE w:val="0"/>
        <w:spacing w:after="0"/>
        <w:ind w:firstLine="720"/>
        <w:contextualSpacing/>
        <w:jc w:val="both"/>
        <w:rPr>
          <w:rFonts w:ascii="Times New Roman" w:hAnsi="Times New Roman"/>
          <w:lang w:val="en-GB"/>
        </w:rPr>
      </w:pPr>
      <w:r>
        <w:rPr>
          <w:rFonts w:ascii="Times New Roman" w:hAnsi="Times New Roman" w:eastAsia="Calibri"/>
        </w:rPr>
        <w:t xml:space="preserve">The </w:t>
      </w:r>
      <w:r>
        <w:rPr>
          <w:rFonts w:ascii="Times New Roman" w:hAnsi="Times New Roman" w:eastAsia="Calibri"/>
          <w:lang w:val="en-GB"/>
        </w:rPr>
        <w:t>second</w:t>
      </w:r>
      <w:r>
        <w:rPr>
          <w:rFonts w:ascii="Times New Roman" w:hAnsi="Times New Roman" w:eastAsia="Calibri"/>
        </w:rPr>
        <w:t xml:space="preserve"> research was held by Siddik and Kawai, “Government Primary School Teacher Training Needs for Inclusive Education in Bangladesh.”. He </w:t>
      </w:r>
      <w:r>
        <w:rPr>
          <w:rFonts w:ascii="Times New Roman" w:hAnsi="Times New Roman"/>
        </w:rPr>
        <w:t>investigated teachers' training needs to implement inclusive education in Bangladesh. The findings of this study suggest</w:t>
      </w:r>
      <w:r>
        <w:rPr>
          <w:rFonts w:hint="default" w:ascii="Times New Roman" w:hAnsi="Times New Roman"/>
          <w:lang w:val="en-GB"/>
        </w:rPr>
        <w:t xml:space="preserve">ed </w:t>
      </w:r>
      <w:r>
        <w:rPr>
          <w:rFonts w:ascii="Times New Roman" w:hAnsi="Times New Roman"/>
        </w:rPr>
        <w:t xml:space="preserve">the in-service training for government primary school teachers </w:t>
      </w:r>
      <w:r>
        <w:rPr>
          <w:rFonts w:hint="default" w:ascii="Times New Roman" w:hAnsi="Times New Roman"/>
          <w:lang w:val="en-GB"/>
        </w:rPr>
        <w:t xml:space="preserve">should </w:t>
      </w:r>
      <w:r>
        <w:rPr>
          <w:rFonts w:ascii="Times New Roman" w:hAnsi="Times New Roman"/>
        </w:rPr>
        <w:t xml:space="preserve">be improved to provide them teaching techniques for diverse </w:t>
      </w:r>
      <w:r>
        <w:rPr>
          <w:rFonts w:ascii="Times New Roman" w:hAnsi="Times New Roman" w:cs="Times New Roman"/>
        </w:rPr>
        <w:t>students</w:t>
      </w:r>
      <w:r>
        <w:rPr>
          <w:rFonts w:hint="default" w:ascii="Times New Roman" w:hAnsi="Times New Roman" w:cs="Times New Roman"/>
          <w:lang w:val="en-GB"/>
        </w:rPr>
        <w:t xml:space="preserve">. Further, it served the </w:t>
      </w:r>
      <w:r>
        <w:rPr>
          <w:rFonts w:ascii="Times New Roman" w:hAnsi="Times New Roman" w:cs="Times New Roman"/>
        </w:rPr>
        <w:t xml:space="preserve">collaboration skills with stakeholders in school communities to implement quality inclusive education </w:t>
      </w:r>
      <w:r>
        <w:rPr>
          <w:rFonts w:ascii="Times New Roman" w:hAnsi="Times New Roman" w:cs="Times New Roman"/>
        </w:rPr>
        <w:fldChar w:fldCharType="begin"/>
      </w:r>
      <w:r>
        <w:rPr>
          <w:rFonts w:ascii="Times New Roman" w:hAnsi="Times New Roman" w:cs="Times New Roman"/>
        </w:rPr>
        <w:instrText xml:space="preserve"> ADDIN ZOTERO_ITEM CSL_CITATION {"citationID":"ThvelD2w","properties":{"formattedCitation":"(Siddik &amp; Kawai, 2020)","plainCitation":"(Siddik &amp; Kawai, 2020)","noteIndex":0},"citationItems":[{"id":1258,"uris":["http://zotero.org/users/local/T6D5QgKM/items/QZC949WK"],"uri":["http://zotero.org/users/local/T6D5QgKM/items/QZC949WK"],"itemData":{"id":1258,"type":"article-journal","abstract":"Bangladesh adopted inclusive education for all government primary schools when it implemented the National Education Policy 2010. However, Bangladesh continues to face several challenges in implementing inclusive education, and low teaching quality remains a significant issue in teaching children with special needs. To overcome this challenge, Bangladesh is developing inclusive teacher education. The current study reviewed 25 studies published in the last 15 years to compile and describe teachers' needs for implementing inclusive education in Bangladesh. The primary purpose of this study was to investigate teachers' training needs to implement inclusive education. This study also addressed the challenges of limited teacher training resources and discussed the three critical components of teacher training: professional learning, practice and engagement, and specific training content, such as involving children with special needs and collaborating with stakeholders including students, parents, and local leaders. This study also found that government primary school teachers need to be involved in long-term pre-service training. The result of this study can be used to develop a teacher training program for inclusive education in the future to fulfill government primary school teachers' training needs in Bangladesh. The findings of this study suggest the in-service training for government primary school teachers be improved to provide them teaching techniques for diverse students and collaboration skills with stakeholders in school communities to implement quality inclusive education.","container-title":"International Journal of Whole Schooling","ISSN":"1710-2146","issue":"2","language":"en","note":"publisher: Whole Schooling Consortium","page":"35-69","source":"ERIC","title":"Government Primary School Teacher Training Needs for Inclusive Education in Bangladesh","volume":"16","author":[{"family":"Siddik","given":"Md Abu Bakor"},{"family":"Kawai","given":"Norimune"}],"issued":{"date-parts":[["2020"]]}}}],"schema":"https://github.com/citation-style-language/schema/raw/master/csl-citation.json"}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(Siddik &amp; Kawai, 2020)</w:t>
      </w:r>
      <w:r>
        <w:rPr>
          <w:rFonts w:ascii="Times New Roman" w:hAnsi="Times New Roman" w:cs="Times New Roman"/>
        </w:rPr>
        <w:fldChar w:fldCharType="end"/>
      </w:r>
      <w:r>
        <w:rPr>
          <w:rFonts w:ascii="Times New Roman" w:hAnsi="Times New Roman" w:cs="Times New Roman"/>
        </w:rPr>
        <w:t>.</w:t>
      </w:r>
      <w:r>
        <w:rPr>
          <w:rFonts w:ascii="Times New Roman" w:hAnsi="Times New Roman"/>
        </w:rPr>
        <w:t xml:space="preserve"> </w:t>
      </w:r>
      <w:r>
        <w:rPr>
          <w:rFonts w:ascii="Times New Roman" w:hAnsi="Times New Roman"/>
          <w:lang w:val="en-GB"/>
        </w:rPr>
        <w:t>This research suggests that the Faculty of Education can develop a partnership with schools to provide assistance to teach special needs children in inclusive education. The assistants are the teacher students. Hopefully, the teacher students can do both learning and doing teaching practice at the same time.</w:t>
      </w:r>
    </w:p>
    <w:p>
      <w:pPr>
        <w:pStyle w:val="10"/>
        <w:spacing w:before="0" w:beforeAutospacing="0" w:after="0" w:afterAutospacing="0" w:line="276" w:lineRule="auto"/>
        <w:ind w:firstLine="720"/>
        <w:contextualSpacing/>
        <w:jc w:val="both"/>
        <w:rPr>
          <w:rFonts w:ascii="Times New Roman" w:hAnsi="Times New Roman" w:eastAsia="TimesNewRoman"/>
          <w:color w:val="000000"/>
        </w:rPr>
      </w:pPr>
      <w:r>
        <w:rPr>
          <w:rFonts w:ascii="Times New Roman" w:hAnsi="Times New Roman" w:eastAsia="Calibri"/>
          <w:sz w:val="22"/>
          <w:szCs w:val="22"/>
        </w:rPr>
        <w:t xml:space="preserve">The third research was from Tanyi, “Psychological Evaluation of Attitudes of Both Primary Teachers and Special Needs Children towards Each Other in a Regular School in Yaoundé-Cameroon.” did the </w:t>
      </w:r>
      <w:r>
        <w:rPr>
          <w:rFonts w:ascii="Times New Roman" w:hAnsi="Times New Roman" w:eastAsia="TimesNewRoman"/>
          <w:sz w:val="22"/>
          <w:szCs w:val="22"/>
        </w:rPr>
        <w:t>Psychological Evaluation of Attitudes of both Primary Teachers and Special Needs Children towards each other in a Regular School in Yaoundé – Cameroon. The result prompted the following recommendations among others that teachers need an extensive program that will enhance their ability in handling special needs children. And, the learning environment</w:t>
      </w:r>
      <w:r>
        <w:rPr>
          <w:rFonts w:ascii="Times New Roman" w:hAnsi="Times New Roman" w:eastAsia="TimesNewRoman"/>
        </w:rPr>
        <w:t xml:space="preserve"> should be conducive to suit every learner</w:t>
      </w:r>
      <w:r>
        <w:rPr>
          <w:rFonts w:ascii="Times New Roman" w:hAnsi="Times New Roman" w:eastAsia="Calibri"/>
          <w:sz w:val="22"/>
          <w:szCs w:val="22"/>
        </w:rPr>
        <w:t xml:space="preserve"> </w:t>
      </w:r>
      <w:r>
        <w:rPr>
          <w:rFonts w:ascii="Times New Roman" w:hAnsi="Times New Roman" w:eastAsia="Calibri"/>
          <w:sz w:val="22"/>
          <w:szCs w:val="22"/>
        </w:rPr>
        <w:fldChar w:fldCharType="begin"/>
      </w:r>
      <w:r>
        <w:rPr>
          <w:rFonts w:ascii="Times New Roman" w:hAnsi="Times New Roman" w:eastAsia="Calibri"/>
          <w:sz w:val="22"/>
          <w:szCs w:val="22"/>
        </w:rPr>
        <w:instrText xml:space="preserve"> ADDIN ZOTERO_ITEM CSL_CITATION {"citationID":"x6WiJWZL","properties":{"formattedCitation":"(Tanyi, 2016)","plainCitation":"(Tanyi, 2016)","noteIndex":0},"citationItems":[{"id":1261,"uris":["http://zotero.org/users/local/T6D5QgKM/items/FCYDSTYP"],"uri":["http://zotero.org/users/local/T6D5QgKM/items/FCYDSTYP"],"itemData":{"id":1261,"type":"article-journal","abstract":"The number of enrolment of children especially the handicaps found in regular schools is on the increase since the 2005 because of the UN educational policy on inclusive education. This has adverse effects on the learning environment, the psycho-social and professional attitudes of both teachers and the special needs children in regular schools. One crucial issue that has prompted this study is that of the ability of the regular classroom teachers to meet the psycho-social demands of special needs children in terms of attitude UN Disability Conventions exhibited in the classroom. A descriptive survey design was adopted. A total sample of 412, (205) boys and (207) girls special needs students were identified by 29 teachers from 47 secondary schools in Yaoundé were used for the study. four research questions and 2 hypotheses were raised to guide the study from which a self-designed 2-point-attitudes scale of a 12-item behavioural concepts were pre-tested and obtained a test-retest reliability coefficient of 0.88. The SPSS was used to analysed percentages and t- test statistic. The result showed that both the teachers and the subjects exhibited negative attitudes though the teachers showed more than the pupils. Gender (Sex) had no significant difference in the students' attitudes. Some (90%) of the teachers have academic qualifications and only (27%) professional qualification. None of the teachers 29 (100%) had been exposed to teaching of Special Needs children. The result prompted the following recommendations among others that teachers need an extensive programme that will enhance their ability in handling special needs children, learning environmental should be conducive to suit every learner.","container-title":"Journal of Education and Practice","ISSN":"2222-1735","issue":"6","language":"en","note":"publisher: IISTE","page":"63-73","source":"ERIC","title":"Psychological Evaluation of Attitudes of Both Primary Teachers and Special Needs Children towards Each Other in a Regular School in Yaoundé-Cameroon","volume":"7","author":[{"family":"Tanyi","given":"Maureen Ebanga"}],"issued":{"date-parts":[["2016"]]}}}],"schema":"https://github.com/citation-style-language/schema/raw/master/csl-citation.json"} </w:instrText>
      </w:r>
      <w:r>
        <w:rPr>
          <w:rFonts w:ascii="Times New Roman" w:hAnsi="Times New Roman" w:eastAsia="Calibri"/>
          <w:sz w:val="22"/>
          <w:szCs w:val="22"/>
        </w:rPr>
        <w:fldChar w:fldCharType="separate"/>
      </w:r>
      <w:r>
        <w:rPr>
          <w:rFonts w:ascii="Times New Roman" w:hAnsi="Times New Roman" w:eastAsia="Calibri"/>
          <w:sz w:val="22"/>
          <w:szCs w:val="22"/>
        </w:rPr>
        <w:t>(Tanyi, 2016)</w:t>
      </w:r>
      <w:r>
        <w:rPr>
          <w:rFonts w:ascii="Times New Roman" w:hAnsi="Times New Roman" w:eastAsia="Calibri"/>
          <w:sz w:val="22"/>
          <w:szCs w:val="22"/>
        </w:rPr>
        <w:fldChar w:fldCharType="end"/>
      </w:r>
      <w:r>
        <w:rPr>
          <w:rFonts w:ascii="Times New Roman" w:hAnsi="Times New Roman" w:eastAsia="Calibri"/>
          <w:sz w:val="22"/>
          <w:szCs w:val="22"/>
        </w:rPr>
        <w:t xml:space="preserve">. From Tanyi’s research, the Faculty of Education can apply the field experience program for the TCWDA </w:t>
      </w:r>
      <w:r>
        <w:rPr>
          <w:rFonts w:ascii="Times New Roman" w:hAnsi="Times New Roman" w:eastAsia="Calibri"/>
          <w:color w:val="000000"/>
          <w:sz w:val="22"/>
          <w:szCs w:val="22"/>
        </w:rPr>
        <w:t>course as an extensive program to enhance the teacher students’ skill in handling the diverse learner needs and develop their teaching affection.</w:t>
      </w:r>
    </w:p>
    <w:p>
      <w:pPr>
        <w:autoSpaceDE w:val="0"/>
        <w:ind w:firstLine="720"/>
        <w:contextualSpacing/>
        <w:jc w:val="both"/>
        <w:rPr>
          <w:rFonts w:ascii="Times New Roman" w:hAnsi="Times New Roman" w:eastAsia="Calibri" w:cs="Times New Roman"/>
          <w:bCs/>
          <w:color w:val="000000"/>
          <w:sz w:val="24"/>
          <w:szCs w:val="24"/>
          <w:lang w:val="en-GB"/>
        </w:rPr>
      </w:pPr>
      <w:r>
        <w:rPr>
          <w:rFonts w:ascii="Times New Roman" w:hAnsi="Times New Roman" w:eastAsia="Calibri"/>
          <w:bCs/>
          <w:color w:val="000000"/>
        </w:rPr>
        <w:t xml:space="preserve">The fourth research was done by </w:t>
      </w:r>
      <w:r>
        <w:rPr>
          <w:rFonts w:ascii="Times New Roman" w:hAnsi="Times New Roman" w:eastAsia="Calibri"/>
          <w:bCs/>
          <w:color w:val="000000"/>
          <w:lang w:val="en-GB"/>
        </w:rPr>
        <w:t xml:space="preserve"> </w:t>
      </w:r>
      <w:r>
        <w:rPr>
          <w:rFonts w:ascii="Times New Roman" w:hAnsi="Times New Roman" w:eastAsia="Calibri"/>
        </w:rPr>
        <w:t>Ross</w:t>
      </w:r>
      <w:r>
        <w:rPr>
          <w:rFonts w:ascii="Times New Roman" w:hAnsi="Times New Roman" w:eastAsia="Calibri"/>
          <w:lang w:val="en-GB"/>
        </w:rPr>
        <w:t xml:space="preserve"> </w:t>
      </w:r>
      <w:r>
        <w:rPr>
          <w:rFonts w:ascii="Times New Roman" w:hAnsi="Times New Roman" w:eastAsia="Calibri"/>
          <w:bCs/>
          <w:color w:val="000000"/>
        </w:rPr>
        <w:t xml:space="preserve">about </w:t>
      </w:r>
      <w:r>
        <w:rPr>
          <w:rFonts w:ascii="Times New Roman" w:hAnsi="Times New Roman" w:eastAsia="Calibri"/>
          <w:color w:val="000000"/>
        </w:rPr>
        <w:t xml:space="preserve">teachers' feelings of competency in educating children with special needs in the General Education setting.  This study </w:t>
      </w:r>
      <w:r>
        <w:rPr>
          <w:rFonts w:hint="default" w:ascii="Times New Roman" w:hAnsi="Times New Roman" w:eastAsia="Calibri"/>
          <w:color w:val="000000"/>
          <w:lang w:val="en-GB"/>
        </w:rPr>
        <w:t xml:space="preserve">wanted to see </w:t>
      </w:r>
      <w:r>
        <w:rPr>
          <w:rFonts w:ascii="Times New Roman" w:hAnsi="Times New Roman" w:eastAsia="Calibri"/>
          <w:color w:val="000000"/>
        </w:rPr>
        <w:t xml:space="preserve">the feelings of competency of 30 regular and special middle school teachers in one Suffolk County (New York) school district about </w:t>
      </w:r>
      <w:r>
        <w:rPr>
          <w:rFonts w:hint="default" w:ascii="Times New Roman" w:hAnsi="Times New Roman" w:eastAsia="Calibri"/>
          <w:color w:val="000000"/>
          <w:lang w:val="en-GB"/>
        </w:rPr>
        <w:t xml:space="preserve">how to </w:t>
      </w:r>
      <w:r>
        <w:rPr>
          <w:rFonts w:ascii="Times New Roman" w:hAnsi="Times New Roman" w:eastAsia="Calibri"/>
          <w:color w:val="000000"/>
        </w:rPr>
        <w:t>educat</w:t>
      </w:r>
      <w:r>
        <w:rPr>
          <w:rFonts w:hint="default" w:ascii="Times New Roman" w:hAnsi="Times New Roman" w:eastAsia="Calibri"/>
          <w:color w:val="000000"/>
          <w:lang w:val="en-GB"/>
        </w:rPr>
        <w:t>e</w:t>
      </w:r>
      <w:r>
        <w:rPr>
          <w:rFonts w:ascii="Times New Roman" w:hAnsi="Times New Roman" w:eastAsia="Calibri"/>
          <w:color w:val="000000"/>
        </w:rPr>
        <w:t xml:space="preserve"> children with special needs in a fully inclusive setting. The results support</w:t>
      </w:r>
      <w:r>
        <w:rPr>
          <w:rFonts w:hint="default" w:ascii="Times New Roman" w:hAnsi="Times New Roman" w:eastAsia="Calibri"/>
          <w:color w:val="000000"/>
          <w:lang w:val="en-GB"/>
        </w:rPr>
        <w:t>ed</w:t>
      </w:r>
      <w:r>
        <w:rPr>
          <w:rFonts w:ascii="Times New Roman" w:hAnsi="Times New Roman" w:eastAsia="Calibri"/>
          <w:color w:val="000000"/>
        </w:rPr>
        <w:t xml:space="preserve"> providing teachers with specialized training as the schools move</w:t>
      </w:r>
      <w:r>
        <w:rPr>
          <w:rFonts w:hint="default" w:ascii="Times New Roman" w:hAnsi="Times New Roman" w:eastAsia="Calibri"/>
          <w:color w:val="000000"/>
          <w:lang w:val="en-GB"/>
        </w:rPr>
        <w:t>d</w:t>
      </w:r>
      <w:r>
        <w:rPr>
          <w:rFonts w:ascii="Times New Roman" w:hAnsi="Times New Roman" w:eastAsia="Calibri"/>
          <w:color w:val="000000"/>
        </w:rPr>
        <w:t xml:space="preserve"> toward increased inclusion and developing the guidelines for practice</w:t>
      </w:r>
      <w:r>
        <w:rPr>
          <w:rFonts w:ascii="Times New Roman" w:hAnsi="Times New Roman" w:eastAsia="Calibri"/>
          <w:bCs/>
          <w:color w:val="000000"/>
        </w:rPr>
        <w:t xml:space="preserve"> </w:t>
      </w:r>
      <w:r>
        <w:rPr>
          <w:rFonts w:ascii="Times New Roman" w:hAnsi="Times New Roman" w:eastAsia="Calibri"/>
          <w:bCs/>
          <w:color w:val="000000"/>
        </w:rPr>
        <w:fldChar w:fldCharType="begin"/>
      </w:r>
      <w:r>
        <w:rPr>
          <w:rFonts w:ascii="Times New Roman" w:hAnsi="Times New Roman" w:eastAsia="Calibri"/>
          <w:bCs/>
          <w:color w:val="000000"/>
        </w:rPr>
        <w:instrText xml:space="preserve"> ADDIN ZOTERO_ITEM CSL_CITATION {"citationID":"zSgoSWaV","properties":{"formattedCitation":"(Ross, 2002)","plainCitation":"(Ross, 2002)","noteIndex":0},"citationItems":[{"id":1243,"uris":["http://zotero.org/users/local/T6D5QgKM/items/AUHPAAIC"],"uri":["http://zotero.org/users/local/T6D5QgKM/items/AUHPAAIC"],"itemData":{"id":1243,"type":"book","abstract":"This study examined the feelings of competency of 30 regular and special middle school teachers in one Suffolk County (New York) school district about educating children with special needs in a fully inclusive setting. A two-part questionnaire provided: (1) demographic and training background information for the teachers; and (2) the teachers' responses to questions that indicated their attitudes toward inclusion, their own competency, and beliefs about the adequacy of their own training and support. The study examined correlations between the two parts and found that generally teachers felt competent in teaching special needs children in inclusive settings, especially if their background experiences included sufficient training and support. As the severity of a child's  disability increased, teachers' feelings of competency decreased. Results support providing teachers with specialized training as schools move toward increased inclusion and developing guidelines for practice. Appendices include the questionnaire, data analysis, and the text of teacher comments on the questionnaire. (Contains 19 references.) (DB)","language":"en","source":"ERIC","title":"Teachers' Feelings of Competency in Educating Children with Special Needs in the General Education Setting","URL":"https://eric.ed.gov/?q=teaching+special+need+children&amp;ft=on&amp;id=ED468322","author":[{"family":"Ross","given":"Susan"}],"accessed":{"date-parts":[["2020",11,7]]},"issued":{"date-parts":[["2002",2]]}}}],"schema":"https://github.com/citation-style-language/schema/raw/master/csl-citation.json"} </w:instrText>
      </w:r>
      <w:r>
        <w:rPr>
          <w:rFonts w:ascii="Times New Roman" w:hAnsi="Times New Roman" w:eastAsia="Calibri"/>
          <w:bCs/>
          <w:color w:val="000000"/>
        </w:rPr>
        <w:fldChar w:fldCharType="separate"/>
      </w:r>
      <w:r>
        <w:rPr>
          <w:rFonts w:ascii="Times New Roman" w:hAnsi="Times New Roman" w:eastAsia="Calibri" w:cs="Times New Roman"/>
        </w:rPr>
        <w:t>(Ross, 2002)</w:t>
      </w:r>
      <w:r>
        <w:rPr>
          <w:rFonts w:ascii="Times New Roman" w:hAnsi="Times New Roman" w:eastAsia="Calibri"/>
          <w:bCs/>
          <w:color w:val="000000"/>
        </w:rPr>
        <w:fldChar w:fldCharType="end"/>
      </w:r>
      <w:r>
        <w:rPr>
          <w:rFonts w:ascii="Times New Roman" w:hAnsi="Times New Roman" w:eastAsia="Calibri"/>
          <w:bCs/>
          <w:color w:val="000000"/>
          <w:lang w:val="en-GB"/>
        </w:rPr>
        <w:t>. The research supports the Faculty of Education to apply for the field experience program since it will increase the teacher students' feeling of competency in teaching children with diverse abilities.</w:t>
      </w:r>
    </w:p>
    <w:p>
      <w:pPr>
        <w:autoSpaceDE w:val="0"/>
        <w:contextualSpacing/>
        <w:jc w:val="both"/>
        <w:rPr>
          <w:rFonts w:ascii="Times New Roman" w:hAnsi="Times New Roman" w:eastAsia="TimesNewRoman"/>
          <w:color w:val="000000"/>
          <w:lang w:val="en-GB"/>
        </w:rPr>
      </w:pPr>
      <w:r>
        <w:rPr>
          <w:rFonts w:ascii="Times New Roman" w:hAnsi="Times New Roman"/>
          <w:color w:val="000000"/>
        </w:rPr>
        <w:tab/>
      </w:r>
      <w:r>
        <w:rPr>
          <w:rFonts w:ascii="Times New Roman" w:hAnsi="Times New Roman" w:eastAsia="TimesNewRoman"/>
          <w:color w:val="000000"/>
        </w:rPr>
        <w:t xml:space="preserve">From the four kinds of research </w:t>
      </w:r>
      <w:r>
        <w:rPr>
          <w:rFonts w:ascii="Times New Roman" w:hAnsi="Times New Roman" w:eastAsia="TimesNewRoman"/>
          <w:color w:val="000000"/>
          <w:lang w:val="en-GB"/>
        </w:rPr>
        <w:t>and the lesson learned for the Faculty of Education</w:t>
      </w:r>
      <w:r>
        <w:rPr>
          <w:rFonts w:ascii="Times New Roman" w:hAnsi="Times New Roman" w:eastAsia="TimesNewRoman"/>
          <w:color w:val="000000"/>
        </w:rPr>
        <w:t xml:space="preserve">, it can be concluded that </w:t>
      </w:r>
      <w:r>
        <w:rPr>
          <w:rFonts w:ascii="Times New Roman" w:hAnsi="Times New Roman" w:eastAsia="TimesNewRoman"/>
          <w:color w:val="000000"/>
          <w:lang w:val="en-GB"/>
        </w:rPr>
        <w:t xml:space="preserve">the Faculty of Education can add the field experience program to the TCWDA course. The benefits are as follow: (1) preparing the teacher students to teach any students including the special need children; (2) having partnerships with schools for teaching practice places for the teacher students; (3) giving lots of opportunities to the teacher students to improve the skills and develop their teachers’ affection; and (4) increasing the teacher students’ feeling of competency. </w:t>
      </w:r>
    </w:p>
    <w:p>
      <w:pPr>
        <w:autoSpaceDE w:val="0"/>
        <w:ind w:firstLine="720"/>
        <w:contextualSpacing/>
        <w:jc w:val="both"/>
        <w:rPr>
          <w:rFonts w:ascii="Times New Roman" w:hAnsi="Times New Roman" w:cs="Times New Roman"/>
          <w:lang w:val="en-GB"/>
        </w:rPr>
      </w:pPr>
      <w:r>
        <w:rPr>
          <w:rFonts w:ascii="Times New Roman" w:hAnsi="Times New Roman" w:eastAsia="TimesNewRoman"/>
          <w:color w:val="000000"/>
          <w:lang w:val="en-GB"/>
        </w:rPr>
        <w:t xml:space="preserve">As an additional benefit, O’ Hara reminds that </w:t>
      </w:r>
      <w:r>
        <w:rPr>
          <w:rFonts w:ascii="Times New Roman" w:hAnsi="Times New Roman" w:cs="Times New Roman"/>
          <w:lang w:val="en-GB"/>
        </w:rPr>
        <w:t xml:space="preserve">the transcendent classroom atmosphere lets the teacher facilitate the learner's feelings of self-valuing, both as a learner and as a human being. The learner's sense of self-valuing emerges as the teacher highlights the learner's unique combination of competencies, intelligence, modalities, and capacities. In a non-competitive community where all learners are valued for their divergent gifts, learners are freed to feel comfortable to be themselves </w:t>
      </w:r>
      <w:r>
        <w:rPr>
          <w:rFonts w:ascii="Times New Roman" w:hAnsi="Times New Roman" w:cs="Times New Roman"/>
          <w:lang w:val="en-GB"/>
        </w:rPr>
        <w:fldChar w:fldCharType="begin"/>
      </w:r>
      <w:r>
        <w:rPr>
          <w:rFonts w:ascii="Times New Roman" w:hAnsi="Times New Roman" w:cs="Times New Roman"/>
          <w:lang w:val="en-GB"/>
        </w:rPr>
        <w:instrText xml:space="preserve"> ADDIN ZOTERO_ITEM CSL_CITATION {"citationID":"WSaDr9h2","properties":{"formattedCitation":"(O\\uc0\\u8217{}Hara, 2020, p. 10)","plainCitation":"(O’Hara, 2020, p. 10)","noteIndex":0},"citationItems":[{"id":1530,"uris":["http://zotero.org/users/local/T6D5QgKM/items/HXFZZUSA"],"uri":["http://zotero.org/users/local/T6D5QgKM/items/HXFZZUSA"],"itemData":{"id":1530,"type":"book","abstract":"Transcendent Teacher Learner Relationships: The Way of the Shamanic Teacher (Second Edition) explores the nature of the transcendent teacher learner relationship and precisely how such relationships of warmth, safety, mutual care, mutual respect and mutual trust are developed and maintained.","event-place":"Leiden","ISBN":"978-90-04-44532-1","language":"en","note":"Google-Books-ID: SS4DEAAAQBAJ","number-of-pages":"279","publisher":"BRILL","publisher-place":"Leiden","source":"Google Books","title":"Transcendent Teacher Learner Relationships: The Way of the Shamanic Teacher (Second Edition)","title-short":"Transcendent Teacher Learner Relationships","author":[{"family":"O'Hara","given":"Hunter"}],"issued":{"date-parts":[["2020",10,12]]}},"locator":"10"}],"schema":"https://github.com/citation-style-language/schema/raw/master/csl-citation.json"} </w:instrText>
      </w:r>
      <w:r>
        <w:rPr>
          <w:rFonts w:ascii="Times New Roman" w:hAnsi="Times New Roman" w:cs="Times New Roman"/>
          <w:lang w:val="en-GB"/>
        </w:rPr>
        <w:fldChar w:fldCharType="separate"/>
      </w:r>
      <w:r>
        <w:rPr>
          <w:rFonts w:ascii="Times New Roman" w:hAnsi="Times New Roman" w:cs="Times New Roman"/>
          <w:szCs w:val="24"/>
        </w:rPr>
        <w:t>(O’Hara, 2020, p. 10)</w:t>
      </w:r>
      <w:r>
        <w:rPr>
          <w:rFonts w:ascii="Times New Roman" w:hAnsi="Times New Roman" w:cs="Times New Roman"/>
          <w:lang w:val="en-GB"/>
        </w:rPr>
        <w:fldChar w:fldCharType="end"/>
      </w:r>
      <w:r>
        <w:rPr>
          <w:rFonts w:ascii="Times New Roman" w:hAnsi="Times New Roman" w:cs="Times New Roman"/>
          <w:lang w:val="en-GB"/>
        </w:rPr>
        <w:t>. Learning from O'Hara's idea, the Faculty of Education needs to empower all the teacher students to have a transcendental relationship as the basis of teaching the students including the special needs ones.</w:t>
      </w:r>
    </w:p>
    <w:p>
      <w:pPr>
        <w:autoSpaceDE w:val="0"/>
        <w:ind w:firstLine="720"/>
        <w:contextualSpacing/>
        <w:jc w:val="both"/>
        <w:rPr>
          <w:rFonts w:ascii="Times New Roman" w:hAnsi="Times New Roman" w:eastAsia="TimesNewRoman"/>
          <w:color w:val="000000"/>
          <w:lang w:val="en-GB"/>
        </w:rPr>
      </w:pPr>
      <w:r>
        <w:rPr>
          <w:rFonts w:ascii="Times New Roman" w:hAnsi="Times New Roman" w:cs="Times New Roman"/>
          <w:lang w:val="en-GB"/>
        </w:rPr>
        <w:t xml:space="preserve">Henceforth, implementing the field experience program in the TCWDA course in the Faculty of Education will help the teacher students understand what is called </w:t>
      </w:r>
      <w:r>
        <w:rPr>
          <w:rFonts w:hint="default" w:ascii="Times New Roman" w:hAnsi="Times New Roman" w:cs="Times New Roman"/>
          <w:lang w:val="en-GB"/>
        </w:rPr>
        <w:t xml:space="preserve">by the </w:t>
      </w:r>
      <w:r>
        <w:rPr>
          <w:rFonts w:ascii="Times New Roman" w:hAnsi="Times New Roman" w:cs="Times New Roman"/>
          <w:lang w:val="en-GB"/>
        </w:rPr>
        <w:t xml:space="preserve">inclusive education. Inclusive education concerns everybody in and around the school. Within these communities, there are some children and young people whose identification with a particular group, their appearance, situation or lifestyle, their prior experiences, and aspirations, maybe misunderstood or constructed by others in particular ways that may be negative and lead to the creation of barriers to their full participation and sense of well-being and belonging </w:t>
      </w:r>
      <w:r>
        <w:rPr>
          <w:rFonts w:ascii="Times New Roman" w:hAnsi="Times New Roman" w:cs="Times New Roman"/>
          <w:lang w:val="en-GB"/>
        </w:rPr>
        <w:fldChar w:fldCharType="begin"/>
      </w:r>
      <w:r>
        <w:rPr>
          <w:rFonts w:ascii="Times New Roman" w:hAnsi="Times New Roman" w:cs="Times New Roman"/>
          <w:lang w:val="en-GB"/>
        </w:rPr>
        <w:instrText xml:space="preserve"> ADDIN ZOTERO_ITEM CSL_CITATION {"citationID":"Nb2ksqRE","properties":{"formattedCitation":"(Richards &amp; Armstrong, 2015, pp. 2\\uc0\\u8211{}3)","plainCitation":"(Richards &amp; Armstrong, 2015, pp. 2–3)","noteIndex":0},"citationItems":[{"id":1534,"uris":["http://zotero.org/users/local/T6D5QgKM/items/M3XU56Y8"],"uri":["http://zotero.org/users/local/T6D5QgKM/items/M3XU56Y8"],"itemData":{"id":1534,"type":"book","abstract":"This accessible text focuses on diversity in education and the inclusion of all children and young people in all aspects of the school or college community. It provides an introduction to policy, theory and practical strategies in relation to diversity in education for practitioners, researchers and policy makers.  The fully revised and updated chapters discuss recent debates, research studies and current initiatives, particularly relating to teaching and learning, and conclude with key questions for student reflection.  Topics include:    Inclusive education ethnic and cultural diversity challenging behaviour bullying gender identity and sexuality Gypsy, Roma and Traveller children special educational needs  listening to parents religious and cultural diversity disability and human rights children and young people who are refugees or seeking asylum  Reflecting on legislative duties, personal values and the importance of listening to the voice of all learners, particularly those who may experience disadvantage or discrimination in educational settings, Teaching and Learning in Diverse and Inclusive Classrooms is a key resource for initial teacher training programmes and professional development courses.","event-place":"London and New York","ISBN":"978-1-317-41918-1","language":"en","note":"Google-Books-ID: Fq80CwAAQBAJ","number-of-pages":"186","publisher":"Routledge","publisher-place":"London and New York","source":"Google Books","title":"Teaching and Learning in Diverse and Inclusive Classrooms: Key issues for new teachers","title-short":"Teaching and Learning in Diverse and Inclusive Classrooms","author":[{"family":"Richards","given":"Gill"},{"family":"Armstrong","given":"Felicity"}],"issued":{"date-parts":[["2015",12,7]]}},"locator":"2-3"}],"schema":"https://github.com/citation-style-language/schema/raw/master/csl-citation.json"} </w:instrText>
      </w:r>
      <w:r>
        <w:rPr>
          <w:rFonts w:ascii="Times New Roman" w:hAnsi="Times New Roman" w:cs="Times New Roman"/>
          <w:lang w:val="en-GB"/>
        </w:rPr>
        <w:fldChar w:fldCharType="separate"/>
      </w:r>
      <w:r>
        <w:rPr>
          <w:rFonts w:ascii="Times New Roman" w:hAnsi="Times New Roman" w:cs="Times New Roman"/>
          <w:szCs w:val="24"/>
        </w:rPr>
        <w:t>(Richards &amp; Armstrong, 2015, pp. 2–3)</w:t>
      </w:r>
      <w:r>
        <w:rPr>
          <w:rFonts w:ascii="Times New Roman" w:hAnsi="Times New Roman" w:cs="Times New Roman"/>
          <w:lang w:val="en-GB"/>
        </w:rPr>
        <w:fldChar w:fldCharType="end"/>
      </w:r>
      <w:r>
        <w:rPr>
          <w:rFonts w:ascii="Times New Roman" w:hAnsi="Times New Roman" w:cs="Times New Roman"/>
          <w:lang w:val="en-GB"/>
        </w:rPr>
        <w:t xml:space="preserve">. </w:t>
      </w:r>
    </w:p>
    <w:p>
      <w:pPr>
        <w:autoSpaceDE w:val="0"/>
        <w:contextualSpacing/>
        <w:jc w:val="both"/>
        <w:rPr>
          <w:rFonts w:ascii="Times New Roman" w:hAnsi="Times New Roman" w:eastAsia="TimesNewRoman"/>
          <w:color w:val="000000"/>
          <w:lang w:val="en-GB"/>
        </w:rPr>
      </w:pPr>
      <w:r>
        <w:rPr>
          <w:rFonts w:ascii="Times New Roman" w:hAnsi="Times New Roman" w:eastAsia="TimesNewRoman"/>
          <w:color w:val="000000"/>
        </w:rPr>
        <w:tab/>
      </w:r>
      <w:r>
        <w:rPr>
          <w:rFonts w:ascii="Times New Roman" w:hAnsi="Times New Roman" w:eastAsia="TimesNewRoman"/>
          <w:color w:val="000000"/>
          <w:lang w:val="en-GB"/>
        </w:rPr>
        <w:t xml:space="preserve">Relating with the Graduate Profile, the field experience program will equip the previous assessments to achieve it. </w:t>
      </w:r>
    </w:p>
    <w:p>
      <w:pPr>
        <w:autoSpaceDE w:val="0"/>
        <w:contextualSpacing/>
        <w:jc w:val="both"/>
        <w:rPr>
          <w:rFonts w:ascii="Times New Roman" w:hAnsi="Times New Roman" w:eastAsia="TimesNewRoman"/>
          <w:color w:val="000000"/>
          <w:lang w:val="en-GB"/>
        </w:rPr>
      </w:pPr>
    </w:p>
    <w:p>
      <w:pPr>
        <w:autoSpaceDE w:val="0"/>
        <w:spacing w:after="0"/>
        <w:contextualSpacing/>
        <w:jc w:val="both"/>
        <w:rPr>
          <w:rFonts w:ascii="Times New Roman" w:hAnsi="Times New Roman"/>
          <w:color w:val="000000"/>
          <w:lang w:val="en-GB"/>
        </w:rPr>
      </w:pPr>
      <w:r>
        <w:rPr>
          <w:rFonts w:ascii="Times New Roman" w:hAnsi="Times New Roman"/>
          <w:color w:val="000000"/>
        </w:rPr>
        <w:t xml:space="preserve">Table </w:t>
      </w:r>
      <w:r>
        <w:rPr>
          <w:rFonts w:ascii="Times New Roman" w:hAnsi="Times New Roman"/>
          <w:color w:val="000000"/>
          <w:lang w:val="en-GB"/>
        </w:rPr>
        <w:t>5</w:t>
      </w:r>
      <w:r>
        <w:rPr>
          <w:rFonts w:ascii="Times New Roman" w:hAnsi="Times New Roman"/>
          <w:color w:val="000000"/>
        </w:rPr>
        <w:t xml:space="preserve">. Graduate Profile and </w:t>
      </w:r>
      <w:r>
        <w:rPr>
          <w:rFonts w:ascii="Times New Roman" w:hAnsi="Times New Roman"/>
          <w:color w:val="000000"/>
          <w:lang w:val="en-GB"/>
        </w:rPr>
        <w:t xml:space="preserve">Additional </w:t>
      </w:r>
      <w:r>
        <w:rPr>
          <w:rFonts w:ascii="Times New Roman" w:hAnsi="Times New Roman"/>
          <w:color w:val="000000"/>
        </w:rPr>
        <w:t>Assessments</w:t>
      </w:r>
    </w:p>
    <w:tbl>
      <w:tblPr>
        <w:tblStyle w:val="7"/>
        <w:tblpPr w:leftFromText="180" w:rightFromText="180" w:vertAnchor="text" w:horzAnchor="page" w:tblpX="850" w:tblpY="265"/>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0"/>
        <w:gridCol w:w="1960"/>
        <w:gridCol w:w="382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0" w:type="dxa"/>
            <w:shd w:val="clear" w:color="auto" w:fill="E7E6E6"/>
            <w:vAlign w:val="center"/>
          </w:tcPr>
          <w:p>
            <w:pPr>
              <w:autoSpaceDE w:val="0"/>
              <w:spacing w:after="0"/>
              <w:contextualSpacing/>
              <w:jc w:val="center"/>
              <w:rPr>
                <w:rFonts w:ascii="Times New Roman" w:hAnsi="Times New Roman" w:eastAsia="Calibri"/>
                <w:b/>
                <w:bCs/>
                <w:color w:val="000000"/>
              </w:rPr>
            </w:pPr>
            <w:r>
              <w:rPr>
                <w:rFonts w:ascii="Times New Roman" w:hAnsi="Times New Roman" w:eastAsia="Calibri"/>
                <w:b/>
                <w:bCs/>
                <w:color w:val="000000"/>
              </w:rPr>
              <w:t>No</w:t>
            </w:r>
          </w:p>
        </w:tc>
        <w:tc>
          <w:tcPr>
            <w:tcW w:w="1960" w:type="dxa"/>
            <w:shd w:val="clear" w:color="auto" w:fill="E7E6E6"/>
          </w:tcPr>
          <w:p>
            <w:pPr>
              <w:autoSpaceDE w:val="0"/>
              <w:spacing w:after="0"/>
              <w:contextualSpacing/>
              <w:jc w:val="center"/>
              <w:rPr>
                <w:rFonts w:ascii="Times New Roman" w:hAnsi="Times New Roman" w:eastAsia="Calibri"/>
                <w:b/>
                <w:color w:val="000000"/>
                <w:lang w:val="en-GB"/>
              </w:rPr>
            </w:pPr>
            <w:r>
              <w:rPr>
                <w:rFonts w:ascii="Times New Roman" w:hAnsi="Times New Roman" w:eastAsia="Calibri"/>
                <w:b/>
                <w:color w:val="000000"/>
                <w:lang w:val="en-GB"/>
              </w:rPr>
              <w:t>Graduate Profile</w:t>
            </w:r>
          </w:p>
        </w:tc>
        <w:tc>
          <w:tcPr>
            <w:tcW w:w="3828" w:type="dxa"/>
            <w:shd w:val="clear" w:color="auto" w:fill="E7E6E6"/>
            <w:vAlign w:val="center"/>
          </w:tcPr>
          <w:p>
            <w:pPr>
              <w:autoSpaceDE w:val="0"/>
              <w:spacing w:after="0"/>
              <w:contextualSpacing/>
              <w:jc w:val="center"/>
              <w:rPr>
                <w:rFonts w:ascii="Times New Roman" w:hAnsi="Times New Roman" w:eastAsia="Calibri"/>
                <w:b/>
                <w:color w:val="000000"/>
                <w:lang w:val="en-GB"/>
              </w:rPr>
            </w:pPr>
            <w:r>
              <w:rPr>
                <w:rFonts w:ascii="Times New Roman" w:hAnsi="Times New Roman" w:eastAsia="Calibri"/>
                <w:b/>
                <w:color w:val="000000"/>
                <w:lang w:val="en-GB"/>
              </w:rPr>
              <w:t xml:space="preserve">Description </w:t>
            </w:r>
          </w:p>
          <w:p>
            <w:pPr>
              <w:autoSpaceDE w:val="0"/>
              <w:spacing w:after="0"/>
              <w:contextualSpacing/>
              <w:jc w:val="center"/>
              <w:rPr>
                <w:rFonts w:ascii="Times New Roman" w:hAnsi="Times New Roman" w:eastAsia="Calibri"/>
                <w:b/>
                <w:color w:val="000000"/>
              </w:rPr>
            </w:pPr>
            <w:r>
              <w:rPr>
                <w:rFonts w:ascii="Times New Roman" w:hAnsi="Times New Roman" w:eastAsia="Calibri"/>
                <w:b/>
                <w:color w:val="000000"/>
                <w:lang w:val="en-GB"/>
              </w:rPr>
              <w:t>(Faculty of Education need)</w:t>
            </w:r>
          </w:p>
        </w:tc>
        <w:tc>
          <w:tcPr>
            <w:tcW w:w="3685" w:type="dxa"/>
            <w:shd w:val="clear" w:color="auto" w:fill="E7E6E6"/>
            <w:vAlign w:val="center"/>
          </w:tcPr>
          <w:p>
            <w:pPr>
              <w:autoSpaceDE w:val="0"/>
              <w:spacing w:after="0"/>
              <w:contextualSpacing/>
              <w:jc w:val="center"/>
              <w:rPr>
                <w:rFonts w:ascii="Times New Roman" w:hAnsi="Times New Roman" w:eastAsia="Calibri"/>
                <w:b/>
                <w:color w:val="000000"/>
                <w:lang w:val="en-GB"/>
              </w:rPr>
            </w:pPr>
            <w:r>
              <w:rPr>
                <w:rFonts w:ascii="Times New Roman" w:hAnsi="Times New Roman" w:eastAsia="Calibri"/>
                <w:b/>
                <w:bCs/>
                <w:color w:val="000000"/>
                <w:lang w:val="en-GB"/>
              </w:rPr>
              <w:t>Assessments (the</w:t>
            </w:r>
            <w:r>
              <w:rPr>
                <w:rFonts w:ascii="Times New Roman" w:hAnsi="Times New Roman" w:eastAsia="Calibri"/>
                <w:b/>
                <w:bCs/>
                <w:color w:val="000000"/>
              </w:rPr>
              <w:t xml:space="preserve"> fact</w:t>
            </w:r>
            <w:r>
              <w:rPr>
                <w:rFonts w:ascii="Times New Roman" w:hAnsi="Times New Roman" w:eastAsia="Calibri"/>
                <w:b/>
                <w:bCs/>
                <w:color w:val="00000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0" w:type="dxa"/>
            <w:vAlign w:val="center"/>
          </w:tcPr>
          <w:p>
            <w:pPr>
              <w:autoSpaceDE w:val="0"/>
              <w:spacing w:after="0"/>
              <w:contextualSpacing/>
              <w:jc w:val="center"/>
              <w:rPr>
                <w:rFonts w:ascii="Times New Roman" w:hAnsi="Times New Roman" w:eastAsia="Calibri"/>
                <w:color w:val="000000"/>
                <w:lang w:val="en-GB"/>
              </w:rPr>
            </w:pPr>
            <w:r>
              <w:rPr>
                <w:rFonts w:ascii="Times New Roman" w:hAnsi="Times New Roman" w:eastAsia="Calibri"/>
                <w:color w:val="000000"/>
                <w:lang w:val="en-GB"/>
              </w:rPr>
              <w:t>1</w:t>
            </w:r>
          </w:p>
        </w:tc>
        <w:tc>
          <w:tcPr>
            <w:tcW w:w="1960" w:type="dxa"/>
          </w:tcPr>
          <w:p>
            <w:pPr>
              <w:spacing w:after="0"/>
              <w:ind w:left="102"/>
              <w:contextualSpacing/>
              <w:rPr>
                <w:rFonts w:cs="Times New Roman"/>
                <w:lang w:val="en-US"/>
              </w:rPr>
            </w:pPr>
            <w:r>
              <w:rPr>
                <w:rFonts w:ascii="Times New Roman" w:hAnsi="Times New Roman" w:eastAsia="Calibri"/>
                <w:color w:val="000000"/>
              </w:rPr>
              <w:t>A Christian teacher (Calling)</w:t>
            </w:r>
          </w:p>
          <w:p>
            <w:pPr>
              <w:autoSpaceDE w:val="0"/>
              <w:spacing w:after="0"/>
              <w:ind w:left="720"/>
              <w:contextualSpacing/>
              <w:jc w:val="both"/>
              <w:rPr>
                <w:rFonts w:ascii="Times New Roman" w:hAnsi="Times New Roman" w:eastAsia="Calibri"/>
                <w:color w:val="000000"/>
              </w:rPr>
            </w:pPr>
          </w:p>
        </w:tc>
        <w:tc>
          <w:tcPr>
            <w:tcW w:w="3828" w:type="dxa"/>
            <w:vAlign w:val="center"/>
          </w:tcPr>
          <w:p>
            <w:pPr>
              <w:pStyle w:val="33"/>
              <w:numPr>
                <w:ilvl w:val="0"/>
                <w:numId w:val="5"/>
              </w:numPr>
              <w:autoSpaceDE w:val="0"/>
              <w:spacing w:before="0" w:beforeAutospacing="0" w:after="0" w:afterAutospacing="0" w:line="276" w:lineRule="auto"/>
              <w:ind w:right="273"/>
              <w:jc w:val="both"/>
              <w:rPr>
                <w:rFonts w:ascii="Times New Roman" w:hAnsi="Times New Roman" w:eastAsia="Calibri"/>
                <w:i/>
                <w:color w:val="000000"/>
                <w:sz w:val="22"/>
                <w:szCs w:val="22"/>
              </w:rPr>
            </w:pPr>
            <w:r>
              <w:rPr>
                <w:rFonts w:ascii="Times New Roman" w:hAnsi="Times New Roman" w:eastAsia="Calibri"/>
                <w:i/>
                <w:color w:val="000000"/>
                <w:sz w:val="22"/>
                <w:szCs w:val="22"/>
              </w:rPr>
              <w:t>Seeing the teacher’s role as a “calling”.</w:t>
            </w:r>
          </w:p>
          <w:p>
            <w:pPr>
              <w:pStyle w:val="33"/>
              <w:numPr>
                <w:ilvl w:val="0"/>
                <w:numId w:val="5"/>
              </w:numPr>
              <w:autoSpaceDE w:val="0"/>
              <w:spacing w:before="0" w:beforeAutospacing="0" w:after="0" w:afterAutospacing="0" w:line="276" w:lineRule="auto"/>
              <w:ind w:right="273"/>
              <w:jc w:val="both"/>
              <w:rPr>
                <w:rFonts w:ascii="Times New Roman" w:hAnsi="Times New Roman" w:eastAsia="Calibri"/>
                <w:i/>
                <w:color w:val="000000"/>
                <w:sz w:val="22"/>
                <w:szCs w:val="22"/>
              </w:rPr>
            </w:pPr>
            <w:r>
              <w:rPr>
                <w:rFonts w:ascii="Times New Roman" w:hAnsi="Times New Roman" w:eastAsia="Calibri"/>
                <w:i/>
                <w:color w:val="000000"/>
                <w:sz w:val="22"/>
                <w:szCs w:val="22"/>
              </w:rPr>
              <w:t>Having a Christian perspective on education.</w:t>
            </w:r>
          </w:p>
          <w:p>
            <w:pPr>
              <w:pStyle w:val="33"/>
              <w:numPr>
                <w:ilvl w:val="0"/>
                <w:numId w:val="5"/>
              </w:numPr>
              <w:autoSpaceDE w:val="0"/>
              <w:spacing w:before="0" w:beforeAutospacing="0" w:after="0" w:afterAutospacing="0" w:line="276" w:lineRule="auto"/>
              <w:ind w:right="273"/>
              <w:jc w:val="both"/>
              <w:rPr>
                <w:rFonts w:ascii="Times New Roman" w:hAnsi="Times New Roman" w:eastAsia="Calibri"/>
                <w:color w:val="000000"/>
                <w:sz w:val="22"/>
                <w:szCs w:val="22"/>
              </w:rPr>
            </w:pPr>
            <w:r>
              <w:rPr>
                <w:rFonts w:ascii="Times New Roman" w:hAnsi="Times New Roman" w:eastAsia="Calibri"/>
                <w:i/>
                <w:color w:val="000000"/>
                <w:sz w:val="22"/>
                <w:szCs w:val="22"/>
              </w:rPr>
              <w:t>Having the ability to reflect critically as a lifelong learner in their field.</w:t>
            </w:r>
          </w:p>
        </w:tc>
        <w:tc>
          <w:tcPr>
            <w:tcW w:w="3685" w:type="dxa"/>
            <w:vMerge w:val="restart"/>
            <w:vAlign w:val="center"/>
          </w:tcPr>
          <w:p>
            <w:pPr>
              <w:pStyle w:val="33"/>
              <w:numPr>
                <w:ilvl w:val="2"/>
                <w:numId w:val="4"/>
              </w:numPr>
              <w:shd w:val="clear" w:color="auto" w:fill="FFFFFF"/>
              <w:tabs>
                <w:tab w:val="left" w:pos="437"/>
              </w:tabs>
              <w:autoSpaceDE w:val="0"/>
              <w:spacing w:before="0" w:beforeAutospacing="0" w:after="0" w:afterAutospacing="0" w:line="276" w:lineRule="auto"/>
              <w:ind w:left="406" w:right="274" w:hanging="284"/>
              <w:jc w:val="both"/>
              <w:rPr>
                <w:rFonts w:ascii="Times New Roman" w:hAnsi="Times New Roman" w:eastAsia="Arial"/>
                <w:color w:val="000000"/>
                <w:sz w:val="22"/>
                <w:szCs w:val="22"/>
                <w:shd w:val="clear" w:color="auto" w:fill="FFFFFF"/>
              </w:rPr>
            </w:pPr>
            <w:r>
              <w:rPr>
                <w:rFonts w:ascii="Times New Roman" w:hAnsi="Times New Roman" w:eastAsia="Arial"/>
                <w:color w:val="000000"/>
                <w:sz w:val="22"/>
                <w:szCs w:val="22"/>
                <w:shd w:val="clear" w:color="auto" w:fill="FFFFFF"/>
              </w:rPr>
              <w:t>The students are able to present the learning disabilities in terms of the biblical foundation, variety, causes, and teaching strategies as well as to design the Individualized Educational Program (IED).</w:t>
            </w:r>
          </w:p>
          <w:p>
            <w:pPr>
              <w:pStyle w:val="33"/>
              <w:numPr>
                <w:ilvl w:val="1"/>
                <w:numId w:val="4"/>
              </w:numPr>
              <w:shd w:val="clear" w:color="auto" w:fill="FFFFFF"/>
              <w:autoSpaceDE w:val="0"/>
              <w:spacing w:before="0" w:beforeAutospacing="0" w:after="0" w:afterAutospacing="0" w:line="276" w:lineRule="auto"/>
              <w:ind w:left="406" w:right="274" w:hanging="284"/>
              <w:jc w:val="both"/>
              <w:rPr>
                <w:rFonts w:ascii="Times New Roman" w:hAnsi="Times New Roman" w:eastAsia="Arial"/>
                <w:i/>
                <w:color w:val="000000"/>
                <w:sz w:val="22"/>
                <w:szCs w:val="22"/>
                <w:shd w:val="clear" w:color="auto" w:fill="FFFFFF"/>
              </w:rPr>
            </w:pPr>
            <w:r>
              <w:rPr>
                <w:rFonts w:ascii="Times New Roman" w:hAnsi="Times New Roman" w:eastAsia="Arial"/>
                <w:i/>
                <w:color w:val="000000"/>
                <w:sz w:val="22"/>
                <w:szCs w:val="22"/>
                <w:shd w:val="clear" w:color="auto" w:fill="FFFFFF"/>
              </w:rPr>
              <w:t>The students are able to do the teaching practicum in inclusive classrooms.</w:t>
            </w:r>
          </w:p>
          <w:p>
            <w:pPr>
              <w:autoSpaceDE w:val="0"/>
              <w:spacing w:after="0"/>
              <w:contextualSpacing/>
              <w:jc w:val="both"/>
              <w:rPr>
                <w:rFonts w:ascii="Times New Roman" w:hAnsi="Times New Roman" w:eastAsia="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0" w:type="dxa"/>
            <w:vAlign w:val="center"/>
          </w:tcPr>
          <w:p>
            <w:pPr>
              <w:autoSpaceDE w:val="0"/>
              <w:spacing w:after="0"/>
              <w:contextualSpacing/>
              <w:jc w:val="center"/>
              <w:rPr>
                <w:rFonts w:ascii="Times New Roman" w:hAnsi="Times New Roman" w:eastAsia="Calibri"/>
                <w:color w:val="000000"/>
                <w:lang w:val="en-GB"/>
              </w:rPr>
            </w:pPr>
            <w:r>
              <w:rPr>
                <w:rFonts w:ascii="Times New Roman" w:hAnsi="Times New Roman" w:eastAsia="Calibri"/>
                <w:color w:val="000000"/>
                <w:lang w:val="en-GB"/>
              </w:rPr>
              <w:t>2</w:t>
            </w:r>
          </w:p>
        </w:tc>
        <w:tc>
          <w:tcPr>
            <w:tcW w:w="1960" w:type="dxa"/>
          </w:tcPr>
          <w:p>
            <w:pPr>
              <w:spacing w:after="0"/>
              <w:ind w:left="102"/>
              <w:contextualSpacing/>
              <w:rPr>
                <w:rFonts w:cs="Times New Roman"/>
                <w:lang w:val="en-US"/>
              </w:rPr>
            </w:pPr>
            <w:r>
              <w:rPr>
                <w:rFonts w:ascii="Times New Roman" w:hAnsi="Times New Roman" w:eastAsia="Calibri"/>
                <w:color w:val="000000"/>
              </w:rPr>
              <w:t>An international standard teacher (Competence)</w:t>
            </w:r>
          </w:p>
          <w:p>
            <w:pPr>
              <w:autoSpaceDE w:val="0"/>
              <w:spacing w:after="0"/>
              <w:ind w:left="720"/>
              <w:contextualSpacing/>
              <w:rPr>
                <w:rFonts w:ascii="Times New Roman" w:hAnsi="Times New Roman"/>
                <w:color w:val="000000"/>
              </w:rPr>
            </w:pPr>
          </w:p>
        </w:tc>
        <w:tc>
          <w:tcPr>
            <w:tcW w:w="3828" w:type="dxa"/>
            <w:vAlign w:val="center"/>
          </w:tcPr>
          <w:p>
            <w:pPr>
              <w:pStyle w:val="33"/>
              <w:numPr>
                <w:ilvl w:val="0"/>
                <w:numId w:val="6"/>
              </w:numPr>
              <w:autoSpaceDE w:val="0"/>
              <w:spacing w:before="0" w:beforeAutospacing="0" w:after="0" w:afterAutospacing="0" w:line="276" w:lineRule="auto"/>
              <w:rPr>
                <w:rFonts w:ascii="Times New Roman" w:hAnsi="Times New Roman" w:eastAsia="Calibri"/>
                <w:i/>
                <w:color w:val="000000"/>
                <w:sz w:val="22"/>
                <w:szCs w:val="22"/>
              </w:rPr>
            </w:pPr>
            <w:r>
              <w:rPr>
                <w:rFonts w:ascii="Times New Roman" w:hAnsi="Times New Roman"/>
                <w:i/>
                <w:color w:val="000000"/>
                <w:sz w:val="22"/>
                <w:szCs w:val="22"/>
              </w:rPr>
              <w:t>Having abilities to teach diverse students.</w:t>
            </w:r>
          </w:p>
          <w:p>
            <w:pPr>
              <w:pStyle w:val="33"/>
              <w:numPr>
                <w:ilvl w:val="0"/>
                <w:numId w:val="6"/>
              </w:numPr>
              <w:autoSpaceDE w:val="0"/>
              <w:spacing w:before="0" w:beforeAutospacing="0" w:after="0" w:afterAutospacing="0" w:line="276" w:lineRule="auto"/>
              <w:rPr>
                <w:rFonts w:ascii="Times New Roman" w:hAnsi="Times New Roman" w:eastAsia="Calibri"/>
                <w:i/>
                <w:color w:val="000000"/>
                <w:sz w:val="22"/>
                <w:szCs w:val="22"/>
              </w:rPr>
            </w:pPr>
            <w:r>
              <w:rPr>
                <w:rFonts w:ascii="Times New Roman" w:hAnsi="Times New Roman" w:eastAsia="Calibri"/>
                <w:i/>
                <w:color w:val="000000"/>
                <w:sz w:val="22"/>
                <w:szCs w:val="22"/>
              </w:rPr>
              <w:t>Having a holistic understanding of learning.</w:t>
            </w:r>
          </w:p>
          <w:p>
            <w:pPr>
              <w:pStyle w:val="33"/>
              <w:numPr>
                <w:ilvl w:val="0"/>
                <w:numId w:val="6"/>
              </w:numPr>
              <w:autoSpaceDE w:val="0"/>
              <w:spacing w:before="0" w:beforeAutospacing="0" w:after="0" w:afterAutospacing="0" w:line="276" w:lineRule="auto"/>
              <w:rPr>
                <w:rFonts w:ascii="Times New Roman" w:hAnsi="Times New Roman" w:eastAsia="Calibri"/>
                <w:color w:val="000000"/>
                <w:sz w:val="22"/>
                <w:szCs w:val="22"/>
              </w:rPr>
            </w:pPr>
            <w:r>
              <w:rPr>
                <w:rFonts w:ascii="Times New Roman" w:hAnsi="Times New Roman" w:eastAsia="Calibri"/>
                <w:color w:val="000000"/>
                <w:sz w:val="22"/>
                <w:szCs w:val="22"/>
              </w:rPr>
              <w:t>Developing curriculum with the international standards.</w:t>
            </w:r>
          </w:p>
          <w:p>
            <w:pPr>
              <w:pStyle w:val="33"/>
              <w:numPr>
                <w:ilvl w:val="0"/>
                <w:numId w:val="6"/>
              </w:numPr>
              <w:autoSpaceDE w:val="0"/>
              <w:spacing w:before="0" w:beforeAutospacing="0" w:after="0" w:afterAutospacing="0" w:line="276" w:lineRule="auto"/>
              <w:rPr>
                <w:rFonts w:ascii="Times New Roman" w:hAnsi="Times New Roman" w:eastAsia="Calibri"/>
                <w:color w:val="000000"/>
                <w:sz w:val="22"/>
                <w:szCs w:val="22"/>
              </w:rPr>
            </w:pPr>
            <w:r>
              <w:rPr>
                <w:rFonts w:ascii="Times New Roman" w:hAnsi="Times New Roman" w:eastAsia="Calibri"/>
                <w:color w:val="000000"/>
                <w:sz w:val="22"/>
                <w:szCs w:val="22"/>
              </w:rPr>
              <w:t>Mastering learning theories and principles of education.</w:t>
            </w:r>
          </w:p>
          <w:p>
            <w:pPr>
              <w:pStyle w:val="33"/>
              <w:numPr>
                <w:ilvl w:val="0"/>
                <w:numId w:val="6"/>
              </w:numPr>
              <w:autoSpaceDE w:val="0"/>
              <w:spacing w:before="0" w:beforeAutospacing="0" w:after="0" w:afterAutospacing="0" w:line="276" w:lineRule="auto"/>
              <w:rPr>
                <w:rFonts w:ascii="Times New Roman" w:hAnsi="Times New Roman" w:eastAsia="Calibri"/>
                <w:color w:val="000000"/>
                <w:sz w:val="22"/>
                <w:szCs w:val="22"/>
              </w:rPr>
            </w:pPr>
            <w:r>
              <w:rPr>
                <w:rFonts w:ascii="Times New Roman" w:hAnsi="Times New Roman" w:eastAsia="Calibri"/>
                <w:color w:val="000000"/>
                <w:sz w:val="22"/>
                <w:szCs w:val="22"/>
              </w:rPr>
              <w:t>Mastering learning competencies of the subject taught.</w:t>
            </w:r>
          </w:p>
        </w:tc>
        <w:tc>
          <w:tcPr>
            <w:tcW w:w="3685" w:type="dxa"/>
            <w:vMerge w:val="continue"/>
            <w:vAlign w:val="center"/>
          </w:tcPr>
          <w:p>
            <w:pPr>
              <w:spacing w:after="0"/>
              <w:contextualSpacing/>
              <w:rPr>
                <w:rFonts w:ascii="Times New Roman" w:hAnsi="Times New Roman" w:eastAsia="Calibri"/>
                <w:color w:val="000000"/>
                <w:sz w:val="24"/>
                <w:szCs w:val="24"/>
              </w:rPr>
            </w:pPr>
          </w:p>
        </w:tc>
      </w:tr>
    </w:tbl>
    <w:p>
      <w:pPr>
        <w:autoSpaceDE w:val="0"/>
        <w:contextualSpacing/>
        <w:jc w:val="both"/>
        <w:rPr>
          <w:rFonts w:ascii="Times New Roman" w:hAnsi="Times New Roman" w:eastAsia="TimesNewRoman"/>
          <w:color w:val="000000"/>
          <w:lang w:val="en-GB"/>
        </w:rPr>
      </w:pPr>
    </w:p>
    <w:p>
      <w:pPr>
        <w:spacing w:after="0"/>
        <w:jc w:val="both"/>
        <w:rPr>
          <w:rFonts w:ascii="Times New Roman" w:hAnsi="Times New Roman" w:cs="Times New Roman"/>
          <w:b/>
          <w:color w:val="000000" w:themeColor="text1"/>
          <w:lang w:val="en-US"/>
          <w14:textFill>
            <w14:solidFill>
              <w14:schemeClr w14:val="tx1"/>
            </w14:solidFill>
          </w14:textFill>
        </w:rPr>
      </w:pPr>
    </w:p>
    <w:p>
      <w:pPr>
        <w:autoSpaceDE w:val="0"/>
        <w:spacing w:after="0"/>
        <w:contextualSpacing/>
        <w:jc w:val="both"/>
        <w:rPr>
          <w:rFonts w:ascii="Times New Roman" w:hAnsi="Times New Roman"/>
          <w:color w:val="000000"/>
          <w:lang w:val="en-GB"/>
        </w:rPr>
      </w:pP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ind w:firstLine="720"/>
        <w:jc w:val="both"/>
        <w:rPr>
          <w:rFonts w:hint="default" w:ascii="Times New Roman" w:hAnsi="Times New Roman" w:cs="Times New Roman"/>
          <w:color w:val="000000" w:themeColor="text1"/>
          <w:lang w:val="en-GB"/>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The field experience program or teaching practicum in the inclusive classrooms will facilitate the students to achieve the Graduate Profile through the additional assessment given. The product of the field experience program or teaching program is a portfolio to be assessed. The portfolio will cover the description of how the teacher students see this study as God's calling upon their lives. Further, they are guided to see the education from a Christian perspective and see themselves as life-long learners. At last, they are not only knowledgeable but skillful in teaching students with diverse abilities.</w:t>
      </w:r>
      <w:r>
        <w:rPr>
          <w:rFonts w:hint="default" w:ascii="Times New Roman" w:hAnsi="Times New Roman" w:cs="Times New Roman"/>
          <w:color w:val="000000" w:themeColor="text1"/>
          <w:lang w:val="en-GB"/>
          <w14:textFill>
            <w14:solidFill>
              <w14:schemeClr w14:val="tx1"/>
            </w14:solidFill>
          </w14:textFill>
        </w:rPr>
        <w:t xml:space="preserve"> </w:t>
      </w: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color w:val="000000" w:themeColor="text1"/>
          <w:lang w:val="en-US"/>
          <w14:textFill>
            <w14:solidFill>
              <w14:schemeClr w14:val="tx1"/>
            </w14:solidFill>
          </w14:textFill>
        </w:rPr>
        <w:t>CONCLUSION</w:t>
      </w:r>
    </w:p>
    <w:p>
      <w:pPr>
        <w:spacing w:after="0"/>
        <w:ind w:firstLine="851"/>
        <w:jc w:val="both"/>
        <w:rPr>
          <w:rFonts w:hint="default" w:ascii="Times New Roman" w:hAnsi="Times New Roman" w:cs="Times New Roman"/>
          <w:lang w:val="en-GB"/>
        </w:rPr>
      </w:pPr>
      <w:r>
        <w:rPr>
          <w:rFonts w:ascii="Times New Roman" w:hAnsi="Times New Roman" w:cs="Times New Roman"/>
          <w:lang w:val="en-GB"/>
        </w:rPr>
        <w:t xml:space="preserve">In conclusion, the vision-mission of the Faculty of Education is the highest goal to achieve in the faculty. Therefore, it should be translated into core values, Graduate Profile, Program Learning Objectives, Competencies Learning Objectives, and assessments. All are derivatives of the Faculty of Education vision mission.  Therefore, </w:t>
      </w:r>
      <w:r>
        <w:rPr>
          <w:rFonts w:hint="default" w:ascii="Times New Roman" w:hAnsi="Times New Roman" w:cs="Times New Roman"/>
          <w:lang w:val="en-GB"/>
        </w:rPr>
        <w:t xml:space="preserve">all </w:t>
      </w:r>
      <w:r>
        <w:rPr>
          <w:rFonts w:ascii="Times New Roman" w:hAnsi="Times New Roman" w:cs="Times New Roman"/>
          <w:lang w:val="en-GB"/>
        </w:rPr>
        <w:t xml:space="preserve">the assessments of the Teaching Children With Diverse Abilities course should achieve the Graduate Profile. Adding the field experience program for the course will fulfill the Program Learning Objectives </w:t>
      </w:r>
      <w:r>
        <w:rPr>
          <w:rFonts w:ascii="Times New Roman" w:hAnsi="Times New Roman" w:eastAsia="Calibri" w:cs="Times New Roman"/>
          <w:color w:val="000000"/>
          <w:lang w:val="en-US"/>
        </w:rPr>
        <w:t>(1) t</w:t>
      </w:r>
      <w:r>
        <w:rPr>
          <w:rFonts w:ascii="Times New Roman" w:hAnsi="Times New Roman"/>
          <w:color w:val="000000"/>
        </w:rPr>
        <w:t>he students are expected to have sincerity and commitment to developing the attitudes, values, and abilities of students as Image of God</w:t>
      </w:r>
      <w:r>
        <w:rPr>
          <w:rFonts w:ascii="Times New Roman" w:hAnsi="Times New Roman"/>
          <w:color w:val="000000"/>
          <w:lang w:val="en-GB"/>
        </w:rPr>
        <w:t xml:space="preserve"> and</w:t>
      </w:r>
      <w:r>
        <w:rPr>
          <w:rFonts w:ascii="Times New Roman" w:hAnsi="Times New Roman" w:eastAsia="SimSun"/>
          <w:color w:val="000000"/>
          <w:lang w:val="en-GB"/>
        </w:rPr>
        <w:t xml:space="preserve"> (2) t</w:t>
      </w:r>
      <w:r>
        <w:rPr>
          <w:rFonts w:ascii="Times New Roman" w:hAnsi="Times New Roman"/>
          <w:color w:val="000000"/>
        </w:rPr>
        <w:t>he students are expected to make decisions with God’s wisdom in the context of solving problems in their field of expertise, based on the results of reliable analysis of information and data</w:t>
      </w:r>
      <w:r>
        <w:rPr>
          <w:rFonts w:ascii="Times New Roman" w:hAnsi="Times New Roman"/>
          <w:color w:val="000000"/>
          <w:lang w:val="en-GB"/>
        </w:rPr>
        <w:t xml:space="preserve"> which are not accommodated yet by the previous assessments.</w:t>
      </w:r>
      <w:r>
        <w:rPr>
          <w:rFonts w:hint="default" w:ascii="Times New Roman" w:hAnsi="Times New Roman"/>
          <w:color w:val="000000"/>
          <w:lang w:val="en-GB"/>
        </w:rPr>
        <w:t xml:space="preserve"> Lastly, the TCWDA assessments are linear with the Faculty of Education vision-mission. </w:t>
      </w:r>
      <w:bookmarkStart w:id="0" w:name="_GoBack"/>
      <w:bookmarkEnd w:id="0"/>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color w:val="000000" w:themeColor="text1"/>
          <w:lang w:val="en-US"/>
          <w14:textFill>
            <w14:solidFill>
              <w14:schemeClr w14:val="tx1"/>
            </w14:solidFill>
          </w14:textFill>
        </w:rPr>
        <w:t>ACKNOWLEDGEMENT</w:t>
      </w:r>
    </w:p>
    <w:p>
      <w:pPr>
        <w:spacing w:after="0"/>
        <w:ind w:firstLine="720"/>
        <w:rPr>
          <w:rFonts w:ascii="Times New Roman" w:hAnsi="Times New Roman" w:cs="Times New Roman"/>
          <w:lang w:val="en-GB"/>
        </w:rPr>
      </w:pPr>
      <w:r>
        <w:rPr>
          <w:rFonts w:ascii="Times New Roman" w:hAnsi="Times New Roman" w:cs="Times New Roman"/>
          <w:lang w:val="en-GB"/>
        </w:rPr>
        <w:t xml:space="preserve">I would like to thank my beloved professor, </w:t>
      </w:r>
      <w:r>
        <w:rPr>
          <w:rFonts w:ascii="Times New Roman" w:hAnsi="Times New Roman" w:eastAsia="TimesNewRomanPS-BoldMT" w:cs="Times New Roman"/>
          <w:bCs/>
          <w:color w:val="000000"/>
          <w:lang w:val="en-US" w:eastAsia="zh-CN" w:bidi="ar"/>
        </w:rPr>
        <w:t xml:space="preserve">Dr. Laura Sandidge, </w:t>
      </w:r>
      <w:r>
        <w:rPr>
          <w:rFonts w:ascii="Times New Roman" w:hAnsi="Times New Roman" w:eastAsia="TimesNewRomanPS-BoldMT" w:cs="Times New Roman"/>
          <w:bCs/>
          <w:color w:val="000000"/>
          <w:lang w:val="en-GB" w:eastAsia="zh-CN" w:bidi="ar"/>
        </w:rPr>
        <w:t xml:space="preserve">who had patiently and passionately guided me in researching for her meaningful and supportive feedback. </w:t>
      </w: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lang w:val="en-US"/>
        </w:rPr>
      </w:pPr>
      <w:r>
        <w:rPr>
          <w:rFonts w:ascii="Times New Roman" w:hAnsi="Times New Roman" w:cs="Times New Roman"/>
          <w:b/>
          <w:lang w:val="en-US"/>
        </w:rPr>
        <w:t>REFERENCES</w:t>
      </w:r>
    </w:p>
    <w:p>
      <w:pPr>
        <w:pStyle w:val="31"/>
        <w:spacing w:before="288" w:beforeLines="120" w:after="288" w:afterLines="120" w:line="240" w:lineRule="auto"/>
        <w:rPr>
          <w:rFonts w:ascii="Times New Roman" w:hAnsi="Times New Roman" w:cs="Times New Roman"/>
        </w:rPr>
      </w:pPr>
      <w:r>
        <w:fldChar w:fldCharType="begin"/>
      </w:r>
      <w:r>
        <w:instrText xml:space="preserve"> ADDIN ZOTERO_BIBL {"uncited":[],"omitted":[],"custom":[]} CSL_BIBLIOGRAPHY </w:instrText>
      </w:r>
      <w:r>
        <w:fldChar w:fldCharType="separate"/>
      </w:r>
      <w:r>
        <w:rPr>
          <w:rFonts w:ascii="Times New Roman" w:hAnsi="Times New Roman" w:cs="Times New Roman"/>
        </w:rPr>
        <w:t xml:space="preserve">Buli-Holmberg, J., &amp; Jeyaprathaban, S. (2016). Effective Practice in Inclusive and Special Needs Education. </w:t>
      </w:r>
      <w:r>
        <w:rPr>
          <w:rFonts w:ascii="Times New Roman" w:hAnsi="Times New Roman" w:cs="Times New Roman"/>
          <w:i/>
          <w:iCs/>
        </w:rPr>
        <w:t>International Journal of Special Education</w:t>
      </w:r>
      <w:r>
        <w:rPr>
          <w:rFonts w:ascii="Times New Roman" w:hAnsi="Times New Roman" w:cs="Times New Roman"/>
        </w:rPr>
        <w:t xml:space="preserve">, </w:t>
      </w:r>
      <w:r>
        <w:rPr>
          <w:rFonts w:ascii="Times New Roman" w:hAnsi="Times New Roman" w:cs="Times New Roman"/>
          <w:i/>
          <w:iCs/>
        </w:rPr>
        <w:t>31</w:t>
      </w:r>
      <w:r>
        <w:rPr>
          <w:rFonts w:ascii="Times New Roman" w:hAnsi="Times New Roman" w:cs="Times New Roman"/>
        </w:rPr>
        <w:t>(1), 119–134.</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Deku, P., &amp; Vanderpuye, I. (2017). Perspectives of Teachers Regarding Inclusive Education in Ghana. </w:t>
      </w:r>
      <w:r>
        <w:rPr>
          <w:rFonts w:ascii="Times New Roman" w:hAnsi="Times New Roman" w:cs="Times New Roman"/>
          <w:i/>
          <w:iCs/>
        </w:rPr>
        <w:t>International Journal of Whole Schooling</w:t>
      </w:r>
      <w:r>
        <w:rPr>
          <w:rFonts w:ascii="Times New Roman" w:hAnsi="Times New Roman" w:cs="Times New Roman"/>
        </w:rPr>
        <w:t xml:space="preserve">, </w:t>
      </w:r>
      <w:r>
        <w:rPr>
          <w:rFonts w:ascii="Times New Roman" w:hAnsi="Times New Roman" w:cs="Times New Roman"/>
          <w:i/>
          <w:iCs/>
        </w:rPr>
        <w:t>13</w:t>
      </w:r>
      <w:r>
        <w:rPr>
          <w:rFonts w:ascii="Times New Roman" w:hAnsi="Times New Roman" w:cs="Times New Roman"/>
        </w:rPr>
        <w:t>(3), 39–54.</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Dewi, W. A. F. (2020). Dampak COVID-19 terhadap Implementasi Pembelajaran Daring di Sekolah Dasar. </w:t>
      </w:r>
      <w:r>
        <w:rPr>
          <w:rFonts w:ascii="Times New Roman" w:hAnsi="Times New Roman" w:cs="Times New Roman"/>
          <w:i/>
          <w:iCs/>
        </w:rPr>
        <w:t>EDUKATIF : JURNAL ILMU PENDIDIKAN</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(1), 55–61. https://doi.org/10.31004/edukatif.v2i1.89</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Guion, L. (2002). Triangulation: Establishing the Validity of Qualitative Studies1. </w:t>
      </w:r>
      <w:r>
        <w:rPr>
          <w:rFonts w:ascii="Times New Roman" w:hAnsi="Times New Roman" w:cs="Times New Roman"/>
          <w:i/>
          <w:iCs/>
        </w:rPr>
        <w:t>EDIS</w:t>
      </w:r>
      <w:r>
        <w:rPr>
          <w:rFonts w:ascii="Times New Roman" w:hAnsi="Times New Roman" w:cs="Times New Roman"/>
        </w:rPr>
        <w:t xml:space="preserve">, </w:t>
      </w:r>
      <w:r>
        <w:rPr>
          <w:rFonts w:ascii="Times New Roman" w:hAnsi="Times New Roman" w:cs="Times New Roman"/>
          <w:i/>
          <w:iCs/>
        </w:rPr>
        <w:t>2002</w:t>
      </w:r>
      <w:r>
        <w:rPr>
          <w:rFonts w:ascii="Times New Roman" w:hAnsi="Times New Roman" w:cs="Times New Roman"/>
        </w:rPr>
        <w:t>. https://doi.org/10.32473/edis-fy394-2002</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Johnson, R. B., &amp; Christensen, L. (2019). </w:t>
      </w:r>
      <w:r>
        <w:rPr>
          <w:rFonts w:ascii="Times New Roman" w:hAnsi="Times New Roman" w:cs="Times New Roman"/>
          <w:i/>
          <w:iCs/>
        </w:rPr>
        <w:t>Educational Research: Quantitative, Qualitative, and Mixed Approaches</w:t>
      </w:r>
      <w:r>
        <w:rPr>
          <w:rFonts w:ascii="Times New Roman" w:hAnsi="Times New Roman" w:cs="Times New Roman"/>
        </w:rPr>
        <w:t>. SAGE Publications.</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K, M., S., &amp; SHUBHRA, M. (2019). </w:t>
      </w:r>
      <w:r>
        <w:rPr>
          <w:rFonts w:ascii="Times New Roman" w:hAnsi="Times New Roman" w:cs="Times New Roman"/>
          <w:i/>
          <w:iCs/>
        </w:rPr>
        <w:t>CREATING AN INCLUSIVE SCHOOL</w:t>
      </w:r>
      <w:r>
        <w:rPr>
          <w:rFonts w:ascii="Times New Roman" w:hAnsi="Times New Roman" w:cs="Times New Roman"/>
        </w:rPr>
        <w:t>. PHI Learning Pvt. Ltd.</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Lick, D. W., Clauset, K. H., &amp; Murphy, C. U. (2012). </w:t>
      </w:r>
      <w:r>
        <w:rPr>
          <w:rFonts w:ascii="Times New Roman" w:hAnsi="Times New Roman" w:cs="Times New Roman"/>
          <w:i/>
          <w:iCs/>
        </w:rPr>
        <w:t>Schools Can Change: A Step-by-Step Change Creation System for Building Innovative Schools and Increasing Student Learning</w:t>
      </w:r>
      <w:r>
        <w:rPr>
          <w:rFonts w:ascii="Times New Roman" w:hAnsi="Times New Roman" w:cs="Times New Roman"/>
        </w:rPr>
        <w:t>. Corwin Press.</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Luke, A., Woods, A., &amp; Weir, K. (2013). </w:t>
      </w:r>
      <w:r>
        <w:rPr>
          <w:rFonts w:ascii="Times New Roman" w:hAnsi="Times New Roman" w:cs="Times New Roman"/>
          <w:i/>
          <w:iCs/>
        </w:rPr>
        <w:t>Curriculum, Syllabus Design, and Equity: A Primer and Model</w:t>
      </w:r>
      <w:r>
        <w:rPr>
          <w:rFonts w:ascii="Times New Roman" w:hAnsi="Times New Roman" w:cs="Times New Roman"/>
        </w:rPr>
        <w:t>. Routledge.</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O’Hara, H. (2020). </w:t>
      </w:r>
      <w:r>
        <w:rPr>
          <w:rFonts w:ascii="Times New Roman" w:hAnsi="Times New Roman" w:cs="Times New Roman"/>
          <w:i/>
          <w:iCs/>
        </w:rPr>
        <w:t>Transcendent Teacher Learner Relationships: The Way of the Shamanic Teacher (Second Edition)</w:t>
      </w:r>
      <w:r>
        <w:rPr>
          <w:rFonts w:ascii="Times New Roman" w:hAnsi="Times New Roman" w:cs="Times New Roman"/>
        </w:rPr>
        <w:t>. BRILL.</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Richards, G., &amp; Armstrong, F. (2015). </w:t>
      </w:r>
      <w:r>
        <w:rPr>
          <w:rFonts w:ascii="Times New Roman" w:hAnsi="Times New Roman" w:cs="Times New Roman"/>
          <w:i/>
          <w:iCs/>
        </w:rPr>
        <w:t>Teaching and Learning in Diverse and Inclusive Classrooms: Key issues for new teachers</w:t>
      </w:r>
      <w:r>
        <w:rPr>
          <w:rFonts w:ascii="Times New Roman" w:hAnsi="Times New Roman" w:cs="Times New Roman"/>
        </w:rPr>
        <w:t>. Routledge.</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Ross, S. (2002). </w:t>
      </w:r>
      <w:r>
        <w:rPr>
          <w:rFonts w:ascii="Times New Roman" w:hAnsi="Times New Roman" w:cs="Times New Roman"/>
          <w:i/>
          <w:iCs/>
        </w:rPr>
        <w:t>Teachers’ Feelings of Competency in Educating Children with Special Needs in the General Education Setting</w:t>
      </w:r>
      <w:r>
        <w:rPr>
          <w:rFonts w:ascii="Times New Roman" w:hAnsi="Times New Roman" w:cs="Times New Roman"/>
        </w:rPr>
        <w:t>. https://eric.ed.gov/?q=teaching+special+need+children&amp;ft=on&amp;id=ED468322</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Siddik, M. A. B., &amp; Kawai, N. (2020). Government Primary School Teacher Training Needs for Inclusive Education in Bangladesh. </w:t>
      </w:r>
      <w:r>
        <w:rPr>
          <w:rFonts w:ascii="Times New Roman" w:hAnsi="Times New Roman" w:cs="Times New Roman"/>
          <w:i/>
          <w:iCs/>
        </w:rPr>
        <w:t>International Journal of Whole Schooling</w:t>
      </w:r>
      <w:r>
        <w:rPr>
          <w:rFonts w:ascii="Times New Roman" w:hAnsi="Times New Roman" w:cs="Times New Roman"/>
        </w:rPr>
        <w:t xml:space="preserve">, </w:t>
      </w:r>
      <w:r>
        <w:rPr>
          <w:rFonts w:ascii="Times New Roman" w:hAnsi="Times New Roman" w:cs="Times New Roman"/>
          <w:i/>
          <w:iCs/>
        </w:rPr>
        <w:t>16</w:t>
      </w:r>
      <w:r>
        <w:rPr>
          <w:rFonts w:ascii="Times New Roman" w:hAnsi="Times New Roman" w:cs="Times New Roman"/>
        </w:rPr>
        <w:t>(2), 35–69.</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Tanyi, M. E. (2016). Psychological Evaluation of Attitudes of Both Primary Teachers and Special Needs Children towards Each Other in a Regular School in Yaoundé-Cameroon. </w:t>
      </w:r>
      <w:r>
        <w:rPr>
          <w:rFonts w:ascii="Times New Roman" w:hAnsi="Times New Roman" w:cs="Times New Roman"/>
          <w:i/>
          <w:iCs/>
        </w:rPr>
        <w:t>Journal of Education and Practice</w:t>
      </w:r>
      <w:r>
        <w:rPr>
          <w:rFonts w:ascii="Times New Roman" w:hAnsi="Times New Roman" w:cs="Times New Roman"/>
        </w:rPr>
        <w:t xml:space="preserve">, </w:t>
      </w:r>
      <w:r>
        <w:rPr>
          <w:rFonts w:ascii="Times New Roman" w:hAnsi="Times New Roman" w:cs="Times New Roman"/>
          <w:i/>
          <w:iCs/>
        </w:rPr>
        <w:t>7</w:t>
      </w:r>
      <w:r>
        <w:rPr>
          <w:rFonts w:ascii="Times New Roman" w:hAnsi="Times New Roman" w:cs="Times New Roman"/>
        </w:rPr>
        <w:t>(6), 63–73.</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Waki, A. (2017). PERSEPSI ORANG TUA TERHADAP PENDIDIKAN INKLUSIF SEKOLAH DASAR DI KECAMATAN GUNUNG PUTRI KABUPATEN BOGOR PROVINSI JAWA-BARAT. </w:t>
      </w:r>
      <w:r>
        <w:rPr>
          <w:rFonts w:ascii="Times New Roman" w:hAnsi="Times New Roman" w:cs="Times New Roman"/>
          <w:i/>
          <w:iCs/>
        </w:rPr>
        <w:t>Jurnal Basicedu</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rPr>
        <w:t>(1), 79–83. https://doi.org/10.31004/basicedu.v1i1.158</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Zendrato, J., &amp; Sambonwaman, M. N. (2020). Dampak Pengiring Proyek Video Pembelajaran Pada Matakuliah Studi Kurikulum di Program Studi Pendidikan Guru Sekolah Dasar Universitas Pelita Harapan. </w:t>
      </w:r>
      <w:r>
        <w:rPr>
          <w:rFonts w:ascii="Times New Roman" w:hAnsi="Times New Roman" w:cs="Times New Roman"/>
          <w:i/>
          <w:iCs/>
        </w:rPr>
        <w:t>Jurnal Basicedu</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(3), 624–636. https://doi.org/10.31004/basicedu.v4i3.412</w:t>
      </w:r>
    </w:p>
    <w:p>
      <w:pPr>
        <w:pStyle w:val="31"/>
        <w:spacing w:before="288" w:beforeLines="120" w:after="288" w:afterLines="120" w:line="240" w:lineRule="auto"/>
        <w:rPr>
          <w:rFonts w:ascii="Times New Roman" w:hAnsi="Times New Roman" w:cs="Times New Roman"/>
        </w:rPr>
      </w:pPr>
      <w:r>
        <w:rPr>
          <w:rFonts w:ascii="Times New Roman" w:hAnsi="Times New Roman" w:cs="Times New Roman"/>
        </w:rPr>
        <w:t xml:space="preserve">Zhang, N., &amp; Parsons, R. D. (2015). </w:t>
      </w:r>
      <w:r>
        <w:rPr>
          <w:rFonts w:ascii="Times New Roman" w:hAnsi="Times New Roman" w:cs="Times New Roman"/>
          <w:i/>
          <w:iCs/>
        </w:rPr>
        <w:t>Field Experience: Transitioning From Student to Professional</w:t>
      </w:r>
      <w:r>
        <w:rPr>
          <w:rFonts w:ascii="Times New Roman" w:hAnsi="Times New Roman" w:cs="Times New Roman"/>
        </w:rPr>
        <w:t>. SAGE Publications.</w:t>
      </w:r>
    </w:p>
    <w:p>
      <w:pPr>
        <w:pStyle w:val="29"/>
        <w:spacing w:before="288" w:beforeLines="120" w:after="288" w:afterLines="120"/>
        <w:ind w:left="567" w:hanging="567"/>
      </w:pPr>
      <w:r>
        <w:rPr>
          <w:sz w:val="22"/>
          <w:szCs w:val="22"/>
        </w:rPr>
        <w:fldChar w:fldCharType="end"/>
      </w:r>
    </w:p>
    <w:p>
      <w:pPr>
        <w:widowControl w:val="0"/>
        <w:autoSpaceDE w:val="0"/>
        <w:autoSpaceDN w:val="0"/>
        <w:adjustRightInd w:val="0"/>
        <w:spacing w:after="0"/>
        <w:jc w:val="both"/>
        <w:rPr>
          <w:rFonts w:ascii="Times New Roman" w:hAnsi="Times New Roman" w:cs="Times New Roman"/>
          <w:color w:val="000000"/>
        </w:rPr>
      </w:pPr>
    </w:p>
    <w:p>
      <w:pPr>
        <w:spacing w:after="120"/>
        <w:ind w:firstLine="720"/>
        <w:jc w:val="both"/>
        <w:rPr>
          <w:rFonts w:ascii="Times New Roman" w:hAnsi="Times New Roman" w:cs="Times New Roman"/>
          <w:lang w:val="en-US"/>
        </w:rPr>
      </w:pPr>
    </w:p>
    <w:sectPr>
      <w:headerReference r:id="rId6" w:type="default"/>
      <w:type w:val="continuous"/>
      <w:pgSz w:w="11906" w:h="16838"/>
      <w:pgMar w:top="1440" w:right="1080" w:bottom="1440" w:left="1080" w:header="851"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TimesNewRoman">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pPr>
      <w:pStyle w:val="9"/>
      <w:jc w:val="right"/>
      <w:rPr>
        <w:rFonts w:ascii="Times New Roman" w:hAnsi="Times New Roman" w:cs="Times New Roman"/>
      </w:rPr>
    </w:pPr>
    <w:r>
      <w:rPr>
        <w:rFonts w:ascii="Times New Roman" w:hAnsi="Times New Roman" w:cs="Times New Roman"/>
        <w:lang w:val="en-US"/>
      </w:rPr>
      <w:t>p-ISSN 2580-3735 e-ISSN 2580-1147</w: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11</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62F57"/>
    <w:multiLevelType w:val="multilevel"/>
    <w:tmpl w:val="21E62F57"/>
    <w:lvl w:ilvl="0" w:tentative="0">
      <w:start w:val="1"/>
      <w:numFmt w:val="lowerLetter"/>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7660336"/>
    <w:multiLevelType w:val="multilevel"/>
    <w:tmpl w:val="37660336"/>
    <w:lvl w:ilvl="0" w:tentative="0">
      <w:start w:val="1"/>
      <w:numFmt w:val="decimal"/>
      <w:pStyle w:val="25"/>
      <w:lvlText w:val="%1."/>
      <w:lvlJc w:val="left"/>
      <w:pPr>
        <w:tabs>
          <w:tab w:val="left" w:pos="72"/>
        </w:tabs>
        <w:ind w:left="72" w:hanging="360"/>
      </w:pPr>
      <w:rPr>
        <w:rFonts w:hint="default" w:cs="Times New Roman"/>
      </w:rPr>
    </w:lvl>
    <w:lvl w:ilvl="1" w:tentative="0">
      <w:start w:val="1"/>
      <w:numFmt w:val="bullet"/>
      <w:lvlText w:val="o"/>
      <w:lvlJc w:val="left"/>
      <w:pPr>
        <w:tabs>
          <w:tab w:val="left" w:pos="864"/>
        </w:tabs>
        <w:ind w:left="864" w:hanging="360"/>
      </w:pPr>
      <w:rPr>
        <w:rFonts w:hint="default" w:ascii="Courier New" w:hAnsi="Courier New"/>
      </w:rPr>
    </w:lvl>
    <w:lvl w:ilvl="2" w:tentative="0">
      <w:start w:val="1"/>
      <w:numFmt w:val="bullet"/>
      <w:lvlText w:val=""/>
      <w:lvlJc w:val="left"/>
      <w:pPr>
        <w:tabs>
          <w:tab w:val="left" w:pos="1584"/>
        </w:tabs>
        <w:ind w:left="1584" w:hanging="360"/>
      </w:pPr>
      <w:rPr>
        <w:rFonts w:hint="default" w:ascii="Wingdings" w:hAnsi="Wingdings"/>
      </w:rPr>
    </w:lvl>
    <w:lvl w:ilvl="3" w:tentative="0">
      <w:start w:val="1"/>
      <w:numFmt w:val="bullet"/>
      <w:lvlText w:val=""/>
      <w:lvlJc w:val="left"/>
      <w:pPr>
        <w:tabs>
          <w:tab w:val="left" w:pos="2304"/>
        </w:tabs>
        <w:ind w:left="2304" w:hanging="360"/>
      </w:pPr>
      <w:rPr>
        <w:rFonts w:hint="default" w:ascii="Symbol" w:hAnsi="Symbol"/>
      </w:rPr>
    </w:lvl>
    <w:lvl w:ilvl="4" w:tentative="0">
      <w:start w:val="1"/>
      <w:numFmt w:val="bullet"/>
      <w:lvlText w:val="o"/>
      <w:lvlJc w:val="left"/>
      <w:pPr>
        <w:tabs>
          <w:tab w:val="left" w:pos="3024"/>
        </w:tabs>
        <w:ind w:left="3024" w:hanging="360"/>
      </w:pPr>
      <w:rPr>
        <w:rFonts w:hint="default" w:ascii="Courier New" w:hAnsi="Courier New"/>
      </w:rPr>
    </w:lvl>
    <w:lvl w:ilvl="5" w:tentative="0">
      <w:start w:val="1"/>
      <w:numFmt w:val="bullet"/>
      <w:lvlText w:val=""/>
      <w:lvlJc w:val="left"/>
      <w:pPr>
        <w:tabs>
          <w:tab w:val="left" w:pos="3744"/>
        </w:tabs>
        <w:ind w:left="3744" w:hanging="360"/>
      </w:pPr>
      <w:rPr>
        <w:rFonts w:hint="default" w:ascii="Wingdings" w:hAnsi="Wingdings"/>
      </w:rPr>
    </w:lvl>
    <w:lvl w:ilvl="6" w:tentative="0">
      <w:start w:val="1"/>
      <w:numFmt w:val="bullet"/>
      <w:lvlText w:val=""/>
      <w:lvlJc w:val="left"/>
      <w:pPr>
        <w:tabs>
          <w:tab w:val="left" w:pos="4464"/>
        </w:tabs>
        <w:ind w:left="4464" w:hanging="360"/>
      </w:pPr>
      <w:rPr>
        <w:rFonts w:hint="default" w:ascii="Symbol" w:hAnsi="Symbol"/>
      </w:rPr>
    </w:lvl>
    <w:lvl w:ilvl="7" w:tentative="0">
      <w:start w:val="1"/>
      <w:numFmt w:val="bullet"/>
      <w:lvlText w:val="o"/>
      <w:lvlJc w:val="left"/>
      <w:pPr>
        <w:tabs>
          <w:tab w:val="left" w:pos="5184"/>
        </w:tabs>
        <w:ind w:left="5184" w:hanging="360"/>
      </w:pPr>
      <w:rPr>
        <w:rFonts w:hint="default" w:ascii="Courier New" w:hAnsi="Courier New"/>
      </w:rPr>
    </w:lvl>
    <w:lvl w:ilvl="8" w:tentative="0">
      <w:start w:val="1"/>
      <w:numFmt w:val="bullet"/>
      <w:lvlText w:val=""/>
      <w:lvlJc w:val="left"/>
      <w:pPr>
        <w:tabs>
          <w:tab w:val="left" w:pos="5904"/>
        </w:tabs>
        <w:ind w:left="5904"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A4F0085"/>
    <w:multiLevelType w:val="multilevel"/>
    <w:tmpl w:val="4A4F0085"/>
    <w:lvl w:ilvl="0" w:tentative="0">
      <w:start w:val="1"/>
      <w:numFmt w:val="lowerLetter"/>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9F443E"/>
    <w:multiLevelType w:val="multilevel"/>
    <w:tmpl w:val="579F443E"/>
    <w:lvl w:ilvl="0" w:tentative="0">
      <w:start w:val="1"/>
      <w:numFmt w:val="lowerLetter"/>
      <w:lvlText w:val="%1."/>
      <w:lvlJc w:val="left"/>
      <w:pPr>
        <w:ind w:left="720" w:hanging="360"/>
      </w:pPr>
      <w:rPr>
        <w:rFonts w:hint="default" w:eastAsia="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6C81700"/>
    <w:multiLevelType w:val="multilevel"/>
    <w:tmpl w:val="76C8170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11562"/>
    <w:rsid w:val="000133DD"/>
    <w:rsid w:val="0001486D"/>
    <w:rsid w:val="00023CD2"/>
    <w:rsid w:val="000410CE"/>
    <w:rsid w:val="0004210F"/>
    <w:rsid w:val="00050E60"/>
    <w:rsid w:val="00080192"/>
    <w:rsid w:val="0009245A"/>
    <w:rsid w:val="000B4276"/>
    <w:rsid w:val="000B59D4"/>
    <w:rsid w:val="000C7E94"/>
    <w:rsid w:val="000E59A2"/>
    <w:rsid w:val="000E5A5D"/>
    <w:rsid w:val="001028D0"/>
    <w:rsid w:val="00105882"/>
    <w:rsid w:val="00112980"/>
    <w:rsid w:val="00114AA0"/>
    <w:rsid w:val="00115B25"/>
    <w:rsid w:val="0011795D"/>
    <w:rsid w:val="001246BD"/>
    <w:rsid w:val="001256EF"/>
    <w:rsid w:val="00126255"/>
    <w:rsid w:val="0013314C"/>
    <w:rsid w:val="0013335B"/>
    <w:rsid w:val="00145D59"/>
    <w:rsid w:val="00151A08"/>
    <w:rsid w:val="001544D9"/>
    <w:rsid w:val="0015537D"/>
    <w:rsid w:val="001600C2"/>
    <w:rsid w:val="0016156F"/>
    <w:rsid w:val="001617DF"/>
    <w:rsid w:val="00167B4A"/>
    <w:rsid w:val="0017456A"/>
    <w:rsid w:val="00180CA2"/>
    <w:rsid w:val="00181906"/>
    <w:rsid w:val="00181A7A"/>
    <w:rsid w:val="00182EE1"/>
    <w:rsid w:val="001874E9"/>
    <w:rsid w:val="001944D4"/>
    <w:rsid w:val="001951E5"/>
    <w:rsid w:val="001A40E9"/>
    <w:rsid w:val="001C3774"/>
    <w:rsid w:val="001D289B"/>
    <w:rsid w:val="001E4A2E"/>
    <w:rsid w:val="001F0FB0"/>
    <w:rsid w:val="001F2D5C"/>
    <w:rsid w:val="002123C8"/>
    <w:rsid w:val="00212447"/>
    <w:rsid w:val="0021702F"/>
    <w:rsid w:val="00221D2E"/>
    <w:rsid w:val="0022481D"/>
    <w:rsid w:val="00245AF8"/>
    <w:rsid w:val="00246D0A"/>
    <w:rsid w:val="002559F3"/>
    <w:rsid w:val="002573DF"/>
    <w:rsid w:val="00261CD9"/>
    <w:rsid w:val="00264B66"/>
    <w:rsid w:val="00282ED7"/>
    <w:rsid w:val="00284187"/>
    <w:rsid w:val="002B3BE8"/>
    <w:rsid w:val="002D3B2C"/>
    <w:rsid w:val="002D742F"/>
    <w:rsid w:val="002E3240"/>
    <w:rsid w:val="002F04A9"/>
    <w:rsid w:val="002F2B59"/>
    <w:rsid w:val="003111F4"/>
    <w:rsid w:val="00316298"/>
    <w:rsid w:val="0032019F"/>
    <w:rsid w:val="00323AEC"/>
    <w:rsid w:val="0033008B"/>
    <w:rsid w:val="00331779"/>
    <w:rsid w:val="0035080C"/>
    <w:rsid w:val="00355641"/>
    <w:rsid w:val="003764C1"/>
    <w:rsid w:val="0037656B"/>
    <w:rsid w:val="003803DD"/>
    <w:rsid w:val="00380FA7"/>
    <w:rsid w:val="003917B9"/>
    <w:rsid w:val="0039487D"/>
    <w:rsid w:val="003972D7"/>
    <w:rsid w:val="003A2F4B"/>
    <w:rsid w:val="003B3782"/>
    <w:rsid w:val="003B4EB0"/>
    <w:rsid w:val="003C2CEC"/>
    <w:rsid w:val="003C6AA5"/>
    <w:rsid w:val="003C6C3F"/>
    <w:rsid w:val="003C724F"/>
    <w:rsid w:val="003E388C"/>
    <w:rsid w:val="003E5E6D"/>
    <w:rsid w:val="003E5FFB"/>
    <w:rsid w:val="003F2287"/>
    <w:rsid w:val="00402710"/>
    <w:rsid w:val="00404847"/>
    <w:rsid w:val="00405518"/>
    <w:rsid w:val="004122DE"/>
    <w:rsid w:val="004159E9"/>
    <w:rsid w:val="00424D02"/>
    <w:rsid w:val="004257CA"/>
    <w:rsid w:val="00434F04"/>
    <w:rsid w:val="004522CD"/>
    <w:rsid w:val="00455891"/>
    <w:rsid w:val="00461297"/>
    <w:rsid w:val="00461BC3"/>
    <w:rsid w:val="00461E13"/>
    <w:rsid w:val="004629DB"/>
    <w:rsid w:val="00462BF2"/>
    <w:rsid w:val="00464721"/>
    <w:rsid w:val="00464AB7"/>
    <w:rsid w:val="00474544"/>
    <w:rsid w:val="004778E2"/>
    <w:rsid w:val="004804A4"/>
    <w:rsid w:val="004858DA"/>
    <w:rsid w:val="00495A6F"/>
    <w:rsid w:val="00496319"/>
    <w:rsid w:val="004A18C8"/>
    <w:rsid w:val="004A5849"/>
    <w:rsid w:val="004B2514"/>
    <w:rsid w:val="004C57F5"/>
    <w:rsid w:val="004D0E93"/>
    <w:rsid w:val="004D1F57"/>
    <w:rsid w:val="004D3917"/>
    <w:rsid w:val="004D4967"/>
    <w:rsid w:val="004D6B62"/>
    <w:rsid w:val="004D75CF"/>
    <w:rsid w:val="004E5655"/>
    <w:rsid w:val="004F185A"/>
    <w:rsid w:val="00514C53"/>
    <w:rsid w:val="00514DBE"/>
    <w:rsid w:val="0051626D"/>
    <w:rsid w:val="0052768F"/>
    <w:rsid w:val="00530100"/>
    <w:rsid w:val="00537833"/>
    <w:rsid w:val="00537B42"/>
    <w:rsid w:val="00541057"/>
    <w:rsid w:val="0054108A"/>
    <w:rsid w:val="00543540"/>
    <w:rsid w:val="0054545E"/>
    <w:rsid w:val="0056063F"/>
    <w:rsid w:val="00575535"/>
    <w:rsid w:val="005778C1"/>
    <w:rsid w:val="00577C6E"/>
    <w:rsid w:val="00584E62"/>
    <w:rsid w:val="00585A08"/>
    <w:rsid w:val="0059148C"/>
    <w:rsid w:val="00592DE6"/>
    <w:rsid w:val="005B69FC"/>
    <w:rsid w:val="005B7068"/>
    <w:rsid w:val="005C35C6"/>
    <w:rsid w:val="005C3854"/>
    <w:rsid w:val="005C3DC3"/>
    <w:rsid w:val="005D025C"/>
    <w:rsid w:val="005D0F4E"/>
    <w:rsid w:val="005D3D58"/>
    <w:rsid w:val="005F3EAE"/>
    <w:rsid w:val="005F5681"/>
    <w:rsid w:val="005F7CF8"/>
    <w:rsid w:val="00611758"/>
    <w:rsid w:val="00612C71"/>
    <w:rsid w:val="00615BDC"/>
    <w:rsid w:val="00625EF3"/>
    <w:rsid w:val="006510B4"/>
    <w:rsid w:val="00663C79"/>
    <w:rsid w:val="00665CAE"/>
    <w:rsid w:val="006663A5"/>
    <w:rsid w:val="00666C5F"/>
    <w:rsid w:val="006775A1"/>
    <w:rsid w:val="006A13BC"/>
    <w:rsid w:val="006A239C"/>
    <w:rsid w:val="006A305E"/>
    <w:rsid w:val="006A442A"/>
    <w:rsid w:val="006A5FE3"/>
    <w:rsid w:val="006D068B"/>
    <w:rsid w:val="006D3BA0"/>
    <w:rsid w:val="006F0E08"/>
    <w:rsid w:val="006F556E"/>
    <w:rsid w:val="007023BD"/>
    <w:rsid w:val="007067DF"/>
    <w:rsid w:val="007217C5"/>
    <w:rsid w:val="0072628E"/>
    <w:rsid w:val="007412AE"/>
    <w:rsid w:val="00742430"/>
    <w:rsid w:val="007451A5"/>
    <w:rsid w:val="00745283"/>
    <w:rsid w:val="00745790"/>
    <w:rsid w:val="00746C3B"/>
    <w:rsid w:val="007508AF"/>
    <w:rsid w:val="007768C0"/>
    <w:rsid w:val="007769C1"/>
    <w:rsid w:val="00777F21"/>
    <w:rsid w:val="00794EEA"/>
    <w:rsid w:val="007A30DD"/>
    <w:rsid w:val="007B49B4"/>
    <w:rsid w:val="007B72DC"/>
    <w:rsid w:val="007C0D38"/>
    <w:rsid w:val="007C17ED"/>
    <w:rsid w:val="007C75BE"/>
    <w:rsid w:val="007D0CE1"/>
    <w:rsid w:val="007E3958"/>
    <w:rsid w:val="007E5689"/>
    <w:rsid w:val="007E5E0C"/>
    <w:rsid w:val="007E640C"/>
    <w:rsid w:val="007F0FB3"/>
    <w:rsid w:val="007F207E"/>
    <w:rsid w:val="007F6099"/>
    <w:rsid w:val="0080276A"/>
    <w:rsid w:val="00816641"/>
    <w:rsid w:val="00817E44"/>
    <w:rsid w:val="00822EDF"/>
    <w:rsid w:val="00822FB2"/>
    <w:rsid w:val="00835460"/>
    <w:rsid w:val="0084031F"/>
    <w:rsid w:val="00847A71"/>
    <w:rsid w:val="00856A6F"/>
    <w:rsid w:val="008634B2"/>
    <w:rsid w:val="00867FF2"/>
    <w:rsid w:val="008722F5"/>
    <w:rsid w:val="0087776A"/>
    <w:rsid w:val="008811E3"/>
    <w:rsid w:val="00882A5D"/>
    <w:rsid w:val="00882C00"/>
    <w:rsid w:val="00887D14"/>
    <w:rsid w:val="00891D16"/>
    <w:rsid w:val="008953E1"/>
    <w:rsid w:val="00895B77"/>
    <w:rsid w:val="008A594D"/>
    <w:rsid w:val="008C119A"/>
    <w:rsid w:val="008C34A0"/>
    <w:rsid w:val="008C3FF6"/>
    <w:rsid w:val="008D3B61"/>
    <w:rsid w:val="008E38C8"/>
    <w:rsid w:val="008E5817"/>
    <w:rsid w:val="008E77BE"/>
    <w:rsid w:val="008F1E3B"/>
    <w:rsid w:val="008F6BDE"/>
    <w:rsid w:val="00903B5F"/>
    <w:rsid w:val="00905A5C"/>
    <w:rsid w:val="00914D4A"/>
    <w:rsid w:val="00923993"/>
    <w:rsid w:val="009257F5"/>
    <w:rsid w:val="009279E7"/>
    <w:rsid w:val="009636E6"/>
    <w:rsid w:val="0096769C"/>
    <w:rsid w:val="00972828"/>
    <w:rsid w:val="00972C8B"/>
    <w:rsid w:val="00974AD8"/>
    <w:rsid w:val="00996FFE"/>
    <w:rsid w:val="009A1CA5"/>
    <w:rsid w:val="009A2712"/>
    <w:rsid w:val="009A316F"/>
    <w:rsid w:val="009D14F3"/>
    <w:rsid w:val="009D2817"/>
    <w:rsid w:val="009E2445"/>
    <w:rsid w:val="009F4DA5"/>
    <w:rsid w:val="00A03A6A"/>
    <w:rsid w:val="00A05EE3"/>
    <w:rsid w:val="00A3096F"/>
    <w:rsid w:val="00A3624D"/>
    <w:rsid w:val="00A3676D"/>
    <w:rsid w:val="00A42FD5"/>
    <w:rsid w:val="00A43834"/>
    <w:rsid w:val="00A442CA"/>
    <w:rsid w:val="00A45587"/>
    <w:rsid w:val="00A46F7E"/>
    <w:rsid w:val="00A5443B"/>
    <w:rsid w:val="00A60C84"/>
    <w:rsid w:val="00A728D3"/>
    <w:rsid w:val="00A73370"/>
    <w:rsid w:val="00A77525"/>
    <w:rsid w:val="00A77F8D"/>
    <w:rsid w:val="00A83E6D"/>
    <w:rsid w:val="00A941BC"/>
    <w:rsid w:val="00AA2B2A"/>
    <w:rsid w:val="00AC0210"/>
    <w:rsid w:val="00AD3C42"/>
    <w:rsid w:val="00AE08C7"/>
    <w:rsid w:val="00AE74DB"/>
    <w:rsid w:val="00AF163D"/>
    <w:rsid w:val="00AF3931"/>
    <w:rsid w:val="00B01472"/>
    <w:rsid w:val="00B152B4"/>
    <w:rsid w:val="00B15D0C"/>
    <w:rsid w:val="00B32985"/>
    <w:rsid w:val="00B33A21"/>
    <w:rsid w:val="00B53726"/>
    <w:rsid w:val="00B602CD"/>
    <w:rsid w:val="00B81A24"/>
    <w:rsid w:val="00B97526"/>
    <w:rsid w:val="00BA0DB4"/>
    <w:rsid w:val="00BA17EC"/>
    <w:rsid w:val="00BA1EB6"/>
    <w:rsid w:val="00BA5D95"/>
    <w:rsid w:val="00BB087A"/>
    <w:rsid w:val="00BB51AD"/>
    <w:rsid w:val="00BD01ED"/>
    <w:rsid w:val="00BD61EC"/>
    <w:rsid w:val="00BF7015"/>
    <w:rsid w:val="00C115B4"/>
    <w:rsid w:val="00C1162D"/>
    <w:rsid w:val="00C15D98"/>
    <w:rsid w:val="00C20558"/>
    <w:rsid w:val="00C21C71"/>
    <w:rsid w:val="00C30E27"/>
    <w:rsid w:val="00C4144E"/>
    <w:rsid w:val="00C4149A"/>
    <w:rsid w:val="00C570B5"/>
    <w:rsid w:val="00C71A36"/>
    <w:rsid w:val="00C82547"/>
    <w:rsid w:val="00C836E9"/>
    <w:rsid w:val="00C85C65"/>
    <w:rsid w:val="00C93664"/>
    <w:rsid w:val="00CA0E83"/>
    <w:rsid w:val="00CA1E37"/>
    <w:rsid w:val="00CA3EBE"/>
    <w:rsid w:val="00CB6DB3"/>
    <w:rsid w:val="00CC1C2C"/>
    <w:rsid w:val="00CC3CA1"/>
    <w:rsid w:val="00CC4D4F"/>
    <w:rsid w:val="00CD0221"/>
    <w:rsid w:val="00CD44C0"/>
    <w:rsid w:val="00CD4A88"/>
    <w:rsid w:val="00CD4E8D"/>
    <w:rsid w:val="00CE6651"/>
    <w:rsid w:val="00CE7287"/>
    <w:rsid w:val="00CF4B69"/>
    <w:rsid w:val="00D036E5"/>
    <w:rsid w:val="00D07675"/>
    <w:rsid w:val="00D10492"/>
    <w:rsid w:val="00D21FE9"/>
    <w:rsid w:val="00D23037"/>
    <w:rsid w:val="00D331C6"/>
    <w:rsid w:val="00D37573"/>
    <w:rsid w:val="00D414B7"/>
    <w:rsid w:val="00D44D95"/>
    <w:rsid w:val="00D66E95"/>
    <w:rsid w:val="00D66FB5"/>
    <w:rsid w:val="00D673A0"/>
    <w:rsid w:val="00D72C46"/>
    <w:rsid w:val="00D74EA2"/>
    <w:rsid w:val="00D754EA"/>
    <w:rsid w:val="00D831DC"/>
    <w:rsid w:val="00D83EF6"/>
    <w:rsid w:val="00D869F3"/>
    <w:rsid w:val="00D90F8E"/>
    <w:rsid w:val="00D97BB4"/>
    <w:rsid w:val="00DA7CC4"/>
    <w:rsid w:val="00DC1125"/>
    <w:rsid w:val="00DC39FA"/>
    <w:rsid w:val="00DC4820"/>
    <w:rsid w:val="00DD1274"/>
    <w:rsid w:val="00DD25B6"/>
    <w:rsid w:val="00DE69F1"/>
    <w:rsid w:val="00E058C8"/>
    <w:rsid w:val="00E121B1"/>
    <w:rsid w:val="00E24EB2"/>
    <w:rsid w:val="00E26D6E"/>
    <w:rsid w:val="00E30A13"/>
    <w:rsid w:val="00E3598D"/>
    <w:rsid w:val="00E35BD5"/>
    <w:rsid w:val="00E46685"/>
    <w:rsid w:val="00E512F4"/>
    <w:rsid w:val="00E51F5E"/>
    <w:rsid w:val="00E56B06"/>
    <w:rsid w:val="00E57C53"/>
    <w:rsid w:val="00E6050E"/>
    <w:rsid w:val="00E62018"/>
    <w:rsid w:val="00E6388D"/>
    <w:rsid w:val="00E66005"/>
    <w:rsid w:val="00E670A6"/>
    <w:rsid w:val="00E70C3D"/>
    <w:rsid w:val="00E740A2"/>
    <w:rsid w:val="00E8519D"/>
    <w:rsid w:val="00EB2EFA"/>
    <w:rsid w:val="00EC0CDF"/>
    <w:rsid w:val="00EC64B4"/>
    <w:rsid w:val="00EC78FF"/>
    <w:rsid w:val="00ED7831"/>
    <w:rsid w:val="00EF0571"/>
    <w:rsid w:val="00F01106"/>
    <w:rsid w:val="00F14580"/>
    <w:rsid w:val="00F14B13"/>
    <w:rsid w:val="00F16466"/>
    <w:rsid w:val="00F176F5"/>
    <w:rsid w:val="00F20AAC"/>
    <w:rsid w:val="00F25F60"/>
    <w:rsid w:val="00F26FD5"/>
    <w:rsid w:val="00F30DCF"/>
    <w:rsid w:val="00F30EB5"/>
    <w:rsid w:val="00F37B57"/>
    <w:rsid w:val="00F43B7E"/>
    <w:rsid w:val="00F529D6"/>
    <w:rsid w:val="00F54FEC"/>
    <w:rsid w:val="00F564AD"/>
    <w:rsid w:val="00F564BA"/>
    <w:rsid w:val="00F5753B"/>
    <w:rsid w:val="00F60A79"/>
    <w:rsid w:val="00F716A2"/>
    <w:rsid w:val="00F74361"/>
    <w:rsid w:val="00F80DBD"/>
    <w:rsid w:val="00F8160A"/>
    <w:rsid w:val="00F824FF"/>
    <w:rsid w:val="00F8779C"/>
    <w:rsid w:val="00FA176C"/>
    <w:rsid w:val="00FA4187"/>
    <w:rsid w:val="00FA4677"/>
    <w:rsid w:val="00FA4F52"/>
    <w:rsid w:val="00FA5DDB"/>
    <w:rsid w:val="00FA61F9"/>
    <w:rsid w:val="00FA6568"/>
    <w:rsid w:val="00FB4A30"/>
    <w:rsid w:val="00FB6D63"/>
    <w:rsid w:val="00FC5596"/>
    <w:rsid w:val="00FE0723"/>
    <w:rsid w:val="00FE25B9"/>
    <w:rsid w:val="00FE7536"/>
    <w:rsid w:val="00FF545F"/>
    <w:rsid w:val="03F77C5D"/>
    <w:rsid w:val="05D57F67"/>
    <w:rsid w:val="08030BEC"/>
    <w:rsid w:val="09AE648F"/>
    <w:rsid w:val="09F22682"/>
    <w:rsid w:val="0A1E7634"/>
    <w:rsid w:val="0BF30244"/>
    <w:rsid w:val="0D1F3BC2"/>
    <w:rsid w:val="0F082D7A"/>
    <w:rsid w:val="0F087BFA"/>
    <w:rsid w:val="13ED49B4"/>
    <w:rsid w:val="17774111"/>
    <w:rsid w:val="18277BBD"/>
    <w:rsid w:val="1B857D00"/>
    <w:rsid w:val="207B11D9"/>
    <w:rsid w:val="21A46296"/>
    <w:rsid w:val="21EF7DD8"/>
    <w:rsid w:val="2288298D"/>
    <w:rsid w:val="23175193"/>
    <w:rsid w:val="24E20F67"/>
    <w:rsid w:val="2738208B"/>
    <w:rsid w:val="2A4802D6"/>
    <w:rsid w:val="2AC55CEF"/>
    <w:rsid w:val="2BD13905"/>
    <w:rsid w:val="30E756C9"/>
    <w:rsid w:val="31834B53"/>
    <w:rsid w:val="357D6BA9"/>
    <w:rsid w:val="35906D3C"/>
    <w:rsid w:val="39033C6F"/>
    <w:rsid w:val="3D577092"/>
    <w:rsid w:val="3EB0062D"/>
    <w:rsid w:val="44134095"/>
    <w:rsid w:val="45876807"/>
    <w:rsid w:val="4BDB6AEA"/>
    <w:rsid w:val="503C1F3D"/>
    <w:rsid w:val="513B505D"/>
    <w:rsid w:val="54F67BC3"/>
    <w:rsid w:val="55EF4630"/>
    <w:rsid w:val="5827205B"/>
    <w:rsid w:val="5893434E"/>
    <w:rsid w:val="60303767"/>
    <w:rsid w:val="66D03604"/>
    <w:rsid w:val="68775898"/>
    <w:rsid w:val="6D603DAA"/>
    <w:rsid w:val="6DC03275"/>
    <w:rsid w:val="6EDD3225"/>
    <w:rsid w:val="70144D0A"/>
    <w:rsid w:val="725237E2"/>
    <w:rsid w:val="72CC2647"/>
    <w:rsid w:val="75116458"/>
    <w:rsid w:val="77F659AE"/>
    <w:rsid w:val="79B37188"/>
    <w:rsid w:val="7C6875CA"/>
    <w:rsid w:val="7D5E2C54"/>
    <w:rsid w:val="7F5407BC"/>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Arial"/>
      <w:sz w:val="22"/>
      <w:szCs w:val="22"/>
      <w:lang w:val="id-ID" w:eastAsia="en-US" w:bidi="ar-SA"/>
    </w:rPr>
  </w:style>
  <w:style w:type="paragraph" w:styleId="2">
    <w:name w:val="heading 1"/>
    <w:basedOn w:val="1"/>
    <w:next w:val="1"/>
    <w:link w:val="15"/>
    <w:qFormat/>
    <w:uiPriority w:val="9"/>
    <w:pPr>
      <w:keepNext/>
      <w:keepLines/>
      <w:numPr>
        <w:ilvl w:val="0"/>
        <w:numId w:val="1"/>
      </w:numPr>
      <w:tabs>
        <w:tab w:val="left" w:pos="216"/>
      </w:tabs>
      <w:spacing w:before="160" w:after="80" w:line="240" w:lineRule="auto"/>
      <w:jc w:val="center"/>
      <w:outlineLvl w:val="0"/>
    </w:pPr>
    <w:rPr>
      <w:rFonts w:ascii="Times New Roman" w:hAnsi="Times New Roman" w:eastAsia="SimSun" w:cs="Times New Roman"/>
      <w:smallCaps/>
      <w:sz w:val="20"/>
      <w:szCs w:val="20"/>
      <w:lang w:val="en-US"/>
    </w:rPr>
  </w:style>
  <w:style w:type="paragraph" w:styleId="3">
    <w:name w:val="heading 2"/>
    <w:basedOn w:val="1"/>
    <w:next w:val="1"/>
    <w:link w:val="16"/>
    <w:qFormat/>
    <w:uiPriority w:val="9"/>
    <w:pPr>
      <w:keepNext/>
      <w:keepLines/>
      <w:numPr>
        <w:ilvl w:val="1"/>
        <w:numId w:val="1"/>
      </w:numPr>
      <w:spacing w:before="120" w:after="60" w:line="240" w:lineRule="auto"/>
      <w:outlineLvl w:val="1"/>
    </w:pPr>
    <w:rPr>
      <w:rFonts w:ascii="Times New Roman" w:hAnsi="Times New Roman" w:eastAsia="SimSun" w:cs="Times New Roman"/>
      <w:i/>
      <w:iCs/>
      <w:sz w:val="20"/>
      <w:szCs w:val="20"/>
      <w:lang w:val="en-US"/>
    </w:rPr>
  </w:style>
  <w:style w:type="paragraph" w:styleId="4">
    <w:name w:val="heading 3"/>
    <w:basedOn w:val="1"/>
    <w:next w:val="1"/>
    <w:link w:val="17"/>
    <w:qFormat/>
    <w:uiPriority w:val="9"/>
    <w:pPr>
      <w:numPr>
        <w:ilvl w:val="2"/>
        <w:numId w:val="1"/>
      </w:numPr>
      <w:spacing w:after="0" w:line="240" w:lineRule="exact"/>
      <w:jc w:val="both"/>
      <w:outlineLvl w:val="2"/>
    </w:pPr>
    <w:rPr>
      <w:rFonts w:ascii="Times New Roman" w:hAnsi="Times New Roman" w:eastAsia="SimSun" w:cs="Times New Roman"/>
      <w:i/>
      <w:iCs/>
      <w:sz w:val="20"/>
      <w:szCs w:val="20"/>
      <w:lang w:val="en-US"/>
    </w:rPr>
  </w:style>
  <w:style w:type="paragraph" w:styleId="5">
    <w:name w:val="heading 4"/>
    <w:basedOn w:val="1"/>
    <w:next w:val="1"/>
    <w:link w:val="18"/>
    <w:qFormat/>
    <w:uiPriority w:val="9"/>
    <w:pPr>
      <w:numPr>
        <w:ilvl w:val="3"/>
        <w:numId w:val="1"/>
      </w:numPr>
      <w:spacing w:before="40" w:after="40" w:line="240" w:lineRule="auto"/>
      <w:jc w:val="both"/>
      <w:outlineLvl w:val="3"/>
    </w:pPr>
    <w:rPr>
      <w:rFonts w:ascii="Times New Roman" w:hAnsi="Times New Roman" w:eastAsia="SimSun" w:cs="Times New Roman"/>
      <w:i/>
      <w:iCs/>
      <w:sz w:val="20"/>
      <w:szCs w:val="20"/>
      <w:lang w:val="en-US"/>
    </w:rPr>
  </w:style>
  <w:style w:type="character" w:default="1" w:styleId="6">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3"/>
    <w:unhideWhenUsed/>
    <w:qFormat/>
    <w:uiPriority w:val="99"/>
    <w:pPr>
      <w:spacing w:after="120"/>
    </w:pPr>
  </w:style>
  <w:style w:type="paragraph" w:styleId="9">
    <w:name w:val="footer"/>
    <w:basedOn w:val="1"/>
    <w:link w:val="20"/>
    <w:unhideWhenUsed/>
    <w:qFormat/>
    <w:uiPriority w:val="99"/>
    <w:pPr>
      <w:tabs>
        <w:tab w:val="center" w:pos="4513"/>
        <w:tab w:val="right" w:pos="9026"/>
      </w:tabs>
      <w:spacing w:after="0" w:line="240" w:lineRule="auto"/>
    </w:pPr>
  </w:style>
  <w:style w:type="paragraph" w:styleId="10">
    <w:name w:val="footnote text"/>
    <w:basedOn w:val="1"/>
    <w:link w:val="32"/>
    <w:semiHidden/>
    <w:unhideWhenUsed/>
    <w:qFormat/>
    <w:uiPriority w:val="99"/>
    <w:pPr>
      <w:spacing w:before="100" w:beforeAutospacing="1" w:after="100" w:afterAutospacing="1" w:line="240" w:lineRule="auto"/>
    </w:pPr>
    <w:rPr>
      <w:rFonts w:cs="Times New Roman"/>
      <w:sz w:val="24"/>
      <w:szCs w:val="24"/>
      <w:lang w:val="en-US"/>
    </w:rPr>
  </w:style>
  <w:style w:type="paragraph" w:styleId="11">
    <w:name w:val="header"/>
    <w:basedOn w:val="1"/>
    <w:link w:val="19"/>
    <w:unhideWhenUsed/>
    <w:qFormat/>
    <w:uiPriority w:val="99"/>
    <w:pPr>
      <w:tabs>
        <w:tab w:val="center" w:pos="4513"/>
        <w:tab w:val="right" w:pos="9026"/>
      </w:tabs>
      <w:spacing w:after="0" w:line="240" w:lineRule="auto"/>
    </w:pPr>
  </w:style>
  <w:style w:type="paragraph" w:styleId="12">
    <w:name w:val="HTML Preformatted"/>
    <w:basedOn w:val="1"/>
    <w:link w:val="34"/>
    <w:unhideWhenUsed/>
    <w:qFormat/>
    <w:uiPriority w:val="99"/>
    <w:pPr>
      <w:spacing w:before="100" w:beforeAutospacing="1" w:after="100" w:afterAutospacing="1" w:line="256" w:lineRule="auto"/>
    </w:pPr>
    <w:rPr>
      <w:rFonts w:ascii="SimSun" w:hAnsi="SimSun" w:eastAsia="SimSun" w:cs="Times New Roman"/>
      <w:sz w:val="24"/>
      <w:szCs w:val="24"/>
      <w:lang w:val="en-US"/>
    </w:rPr>
  </w:style>
  <w:style w:type="table" w:styleId="13">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next w:val="1"/>
    <w:link w:val="30"/>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6"/>
    <w:link w:val="2"/>
    <w:qFormat/>
    <w:uiPriority w:val="9"/>
    <w:rPr>
      <w:rFonts w:ascii="Times New Roman" w:hAnsi="Times New Roman" w:eastAsia="SimSun" w:cs="Times New Roman"/>
      <w:smallCaps/>
      <w:sz w:val="20"/>
      <w:szCs w:val="20"/>
      <w:lang w:val="en-US"/>
    </w:rPr>
  </w:style>
  <w:style w:type="character" w:customStyle="1" w:styleId="16">
    <w:name w:val="Heading 2 Char"/>
    <w:basedOn w:val="6"/>
    <w:link w:val="3"/>
    <w:qFormat/>
    <w:uiPriority w:val="9"/>
    <w:rPr>
      <w:rFonts w:ascii="Times New Roman" w:hAnsi="Times New Roman" w:eastAsia="SimSun" w:cs="Times New Roman"/>
      <w:i/>
      <w:iCs/>
      <w:sz w:val="20"/>
      <w:szCs w:val="20"/>
      <w:lang w:val="en-US"/>
    </w:rPr>
  </w:style>
  <w:style w:type="character" w:customStyle="1" w:styleId="17">
    <w:name w:val="Heading 3 Char"/>
    <w:basedOn w:val="6"/>
    <w:link w:val="4"/>
    <w:qFormat/>
    <w:uiPriority w:val="9"/>
    <w:rPr>
      <w:rFonts w:ascii="Times New Roman" w:hAnsi="Times New Roman" w:eastAsia="SimSun" w:cs="Times New Roman"/>
      <w:i/>
      <w:iCs/>
      <w:sz w:val="20"/>
      <w:szCs w:val="20"/>
      <w:lang w:val="en-US"/>
    </w:rPr>
  </w:style>
  <w:style w:type="character" w:customStyle="1" w:styleId="18">
    <w:name w:val="Heading 4 Char"/>
    <w:basedOn w:val="6"/>
    <w:link w:val="5"/>
    <w:qFormat/>
    <w:uiPriority w:val="9"/>
    <w:rPr>
      <w:rFonts w:ascii="Times New Roman" w:hAnsi="Times New Roman" w:eastAsia="SimSun" w:cs="Times New Roman"/>
      <w:i/>
      <w:iCs/>
      <w:sz w:val="20"/>
      <w:szCs w:val="20"/>
      <w:lang w:val="en-US"/>
    </w:rPr>
  </w:style>
  <w:style w:type="character" w:customStyle="1" w:styleId="19">
    <w:name w:val="Header Char"/>
    <w:basedOn w:val="6"/>
    <w:link w:val="11"/>
    <w:qFormat/>
    <w:uiPriority w:val="99"/>
    <w:rPr>
      <w:rFonts w:ascii="Calibri" w:hAnsi="Calibri" w:eastAsia="Times New Roman" w:cs="Arial"/>
    </w:rPr>
  </w:style>
  <w:style w:type="character" w:customStyle="1" w:styleId="20">
    <w:name w:val="Footer Char"/>
    <w:basedOn w:val="6"/>
    <w:link w:val="9"/>
    <w:qFormat/>
    <w:uiPriority w:val="99"/>
    <w:rPr>
      <w:rFonts w:ascii="Calibri" w:hAnsi="Calibri" w:eastAsia="Times New Roman" w:cs="Arial"/>
    </w:rPr>
  </w:style>
  <w:style w:type="paragraph" w:customStyle="1" w:styleId="21">
    <w:name w:val="Style Author + Bold"/>
    <w:basedOn w:val="1"/>
    <w:qFormat/>
    <w:uiPriority w:val="0"/>
    <w:pPr>
      <w:spacing w:before="240" w:after="40" w:line="240" w:lineRule="auto"/>
      <w:jc w:val="center"/>
    </w:pPr>
    <w:rPr>
      <w:rFonts w:ascii="Times New Roman" w:hAnsi="Times New Roman" w:eastAsia="SimSun" w:cs="Times New Roman"/>
      <w:b/>
      <w:bCs/>
      <w:lang w:val="en-US"/>
    </w:rPr>
  </w:style>
  <w:style w:type="paragraph" w:customStyle="1" w:styleId="22">
    <w:name w:val="abstrak"/>
    <w:basedOn w:val="8"/>
    <w:qFormat/>
    <w:uiPriority w:val="0"/>
    <w:pPr>
      <w:spacing w:after="0" w:line="240" w:lineRule="auto"/>
      <w:ind w:left="567" w:right="567"/>
      <w:jc w:val="both"/>
    </w:pPr>
    <w:rPr>
      <w:rFonts w:ascii="Times New Roman" w:hAnsi="Times New Roman" w:eastAsia="SimSun" w:cs="Times New Roman"/>
      <w:spacing w:val="-1"/>
      <w:sz w:val="20"/>
      <w:szCs w:val="24"/>
      <w:lang w:val="en-US"/>
    </w:rPr>
  </w:style>
  <w:style w:type="character" w:customStyle="1" w:styleId="23">
    <w:name w:val="Body Text Char"/>
    <w:basedOn w:val="6"/>
    <w:link w:val="8"/>
    <w:qFormat/>
    <w:uiPriority w:val="99"/>
    <w:rPr>
      <w:rFonts w:ascii="Calibri" w:hAnsi="Calibri" w:eastAsia="Times New Roman" w:cs="Arial"/>
    </w:rPr>
  </w:style>
  <w:style w:type="paragraph" w:customStyle="1" w:styleId="24">
    <w:name w:val="Afiliasi"/>
    <w:basedOn w:val="1"/>
    <w:qFormat/>
    <w:uiPriority w:val="0"/>
    <w:pPr>
      <w:spacing w:before="40" w:after="40" w:line="240" w:lineRule="auto"/>
      <w:contextualSpacing/>
      <w:jc w:val="center"/>
    </w:pPr>
    <w:rPr>
      <w:rFonts w:ascii="Times New Roman" w:hAnsi="Times New Roman" w:eastAsia="SimSun" w:cs="Times New Roman"/>
      <w:sz w:val="20"/>
      <w:szCs w:val="20"/>
    </w:rPr>
  </w:style>
  <w:style w:type="paragraph" w:customStyle="1" w:styleId="25">
    <w:name w:val="bullet list"/>
    <w:basedOn w:val="8"/>
    <w:qFormat/>
    <w:uiPriority w:val="0"/>
    <w:pPr>
      <w:numPr>
        <w:ilvl w:val="0"/>
        <w:numId w:val="2"/>
      </w:numPr>
      <w:spacing w:after="0" w:line="360" w:lineRule="auto"/>
      <w:jc w:val="both"/>
    </w:pPr>
    <w:rPr>
      <w:rFonts w:ascii="Times New Roman" w:hAnsi="Times New Roman" w:eastAsia="SimSun" w:cs="Times New Roman"/>
      <w:spacing w:val="-1"/>
      <w:sz w:val="20"/>
      <w:szCs w:val="20"/>
      <w:lang w:val="en-US"/>
    </w:rPr>
  </w:style>
  <w:style w:type="paragraph" w:customStyle="1" w:styleId="26">
    <w:name w:val="table col head"/>
    <w:basedOn w:val="1"/>
    <w:qFormat/>
    <w:uiPriority w:val="0"/>
    <w:pPr>
      <w:spacing w:after="0" w:line="240" w:lineRule="auto"/>
      <w:jc w:val="center"/>
    </w:pPr>
    <w:rPr>
      <w:rFonts w:ascii="Times New Roman" w:hAnsi="Times New Roman" w:eastAsia="SimSun" w:cs="Times New Roman"/>
      <w:b/>
      <w:bCs/>
      <w:sz w:val="16"/>
      <w:szCs w:val="16"/>
      <w:lang w:val="en-US"/>
    </w:rPr>
  </w:style>
  <w:style w:type="paragraph" w:customStyle="1" w:styleId="27">
    <w:name w:val="table col subhead"/>
    <w:basedOn w:val="26"/>
    <w:qFormat/>
    <w:uiPriority w:val="0"/>
    <w:rPr>
      <w:i/>
      <w:iCs/>
      <w:sz w:val="15"/>
      <w:szCs w:val="15"/>
    </w:rPr>
  </w:style>
  <w:style w:type="paragraph" w:customStyle="1" w:styleId="28">
    <w:name w:val="table copy"/>
    <w:qFormat/>
    <w:uiPriority w:val="0"/>
    <w:pPr>
      <w:jc w:val="both"/>
    </w:pPr>
    <w:rPr>
      <w:rFonts w:ascii="Times New Roman" w:hAnsi="Times New Roman" w:eastAsia="SimSun" w:cs="Times New Roman"/>
      <w:sz w:val="16"/>
      <w:szCs w:val="16"/>
      <w:lang w:val="en-US" w:eastAsia="en-US" w:bidi="ar-SA"/>
    </w:rPr>
  </w:style>
  <w:style w:type="paragraph" w:customStyle="1" w:styleId="29">
    <w:name w:val="Daftar Pustaka"/>
    <w:basedOn w:val="14"/>
    <w:qFormat/>
    <w:uiPriority w:val="0"/>
    <w:pPr>
      <w:spacing w:before="120" w:after="120"/>
      <w:ind w:left="284" w:hanging="284"/>
      <w:contextualSpacing w:val="0"/>
      <w:jc w:val="both"/>
    </w:pPr>
    <w:rPr>
      <w:rFonts w:ascii="Times New Roman" w:hAnsi="Times New Roman" w:eastAsia="Times New Roman" w:cs="Times New Roman"/>
      <w:spacing w:val="0"/>
      <w:kern w:val="0"/>
      <w:sz w:val="20"/>
      <w:szCs w:val="24"/>
      <w:lang w:val="en-US"/>
    </w:rPr>
  </w:style>
  <w:style w:type="character" w:customStyle="1" w:styleId="30">
    <w:name w:val="Title Char"/>
    <w:basedOn w:val="6"/>
    <w:link w:val="14"/>
    <w:qFormat/>
    <w:uiPriority w:val="10"/>
    <w:rPr>
      <w:rFonts w:asciiTheme="majorHAnsi" w:hAnsiTheme="majorHAnsi" w:eastAsiaTheme="majorEastAsia" w:cstheme="majorBidi"/>
      <w:spacing w:val="-10"/>
      <w:kern w:val="28"/>
      <w:sz w:val="56"/>
      <w:szCs w:val="56"/>
    </w:rPr>
  </w:style>
  <w:style w:type="paragraph" w:customStyle="1" w:styleId="31">
    <w:name w:val="Bibliography"/>
    <w:basedOn w:val="1"/>
    <w:next w:val="1"/>
    <w:unhideWhenUsed/>
    <w:qFormat/>
    <w:uiPriority w:val="37"/>
    <w:pPr>
      <w:spacing w:after="0" w:line="480" w:lineRule="auto"/>
      <w:ind w:left="720" w:hanging="720"/>
    </w:pPr>
  </w:style>
  <w:style w:type="character" w:customStyle="1" w:styleId="32">
    <w:name w:val="Footnote Text Char"/>
    <w:basedOn w:val="6"/>
    <w:link w:val="10"/>
    <w:semiHidden/>
    <w:qFormat/>
    <w:uiPriority w:val="99"/>
    <w:rPr>
      <w:rFonts w:ascii="Calibri" w:hAnsi="Calibri" w:eastAsia="Times New Roman"/>
      <w:sz w:val="24"/>
      <w:szCs w:val="24"/>
    </w:rPr>
  </w:style>
  <w:style w:type="paragraph" w:styleId="33">
    <w:name w:val="List Paragraph"/>
    <w:basedOn w:val="1"/>
    <w:qFormat/>
    <w:uiPriority w:val="99"/>
    <w:pPr>
      <w:spacing w:before="100" w:beforeAutospacing="1" w:after="100" w:afterAutospacing="1" w:line="256" w:lineRule="auto"/>
      <w:contextualSpacing/>
    </w:pPr>
    <w:rPr>
      <w:rFonts w:cs="Times New Roman"/>
      <w:sz w:val="24"/>
      <w:szCs w:val="24"/>
      <w:lang w:val="en-US"/>
    </w:rPr>
  </w:style>
  <w:style w:type="character" w:customStyle="1" w:styleId="34">
    <w:name w:val="HTML Preformatted Char"/>
    <w:basedOn w:val="6"/>
    <w:link w:val="12"/>
    <w:qFormat/>
    <w:uiPriority w:val="99"/>
    <w:rPr>
      <w:rFonts w:ascii="SimSun" w:hAnsi="SimSu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C5AFA-8069-4F5E-84A4-97A2E30BD22D}">
  <ds:schemaRefs/>
</ds:datastoreItem>
</file>

<file path=docProps/app.xml><?xml version="1.0" encoding="utf-8"?>
<Properties xmlns="http://schemas.openxmlformats.org/officeDocument/2006/extended-properties" xmlns:vt="http://schemas.openxmlformats.org/officeDocument/2006/docPropsVTypes">
  <Template>Normal</Template>
  <Pages>11</Pages>
  <Words>10400</Words>
  <Characters>59286</Characters>
  <Lines>494</Lines>
  <Paragraphs>139</Paragraphs>
  <TotalTime>4</TotalTime>
  <ScaleCrop>false</ScaleCrop>
  <LinksUpToDate>false</LinksUpToDate>
  <CharactersWithSpaces>69547</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2021-11-20T14:55:00Z</dcterms:created>
  <dc:creator>Reviewer F</dc:creator>
  <cp:lastModifiedBy>Ria</cp:lastModifiedBy>
  <dcterms:modified xsi:type="dcterms:W3CDTF">2021-11-20T17:32:21Z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5281EB1A8D2249829E559EF94D730A60</vt:lpwstr>
  </property>
  <property fmtid="{D5CDD505-2E9C-101B-9397-08002B2CF9AE}" pid="3" name="KSOProductBuildVer">
    <vt:lpwstr>1033-11.2.0.10382</vt:lpwstr>
  </property>
  <property fmtid="{D5CDD505-2E9C-101B-9397-08002B2CF9AE}" pid="4" name="ZOTERO_PREF_1">
    <vt:lpwstr>&lt;data data-version="3" zotero-version="5.0.96.3"&gt;&lt;session id="9zgQIY1l"/&gt;&lt;style id="http://www.zotero.org/styles/apa" locale="en-US" hasBibliography="1" bibliographyStyleHasBeenSet="1"/&gt;&lt;prefs&gt;&lt;pref name="fieldType" value="Field"/&gt;&lt;pref name="automaticJou</vt:lpwstr>
  </property>
  <property fmtid="{D5CDD505-2E9C-101B-9397-08002B2CF9AE}" pid="5" name="ZOTERO_PREF_2">
    <vt:lpwstr>rnalAbbreviations" value="true"/&gt;&lt;/prefs&gt;&lt;/data&gt;</vt:lpwstr>
  </property>
</Properties>
</file>