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21" w:rsidRDefault="004F347C">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E61A21" w:rsidRDefault="004F347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E61A21" w:rsidRDefault="004F347C">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E61A21" w:rsidRDefault="004161D4">
      <w:pPr>
        <w:spacing w:after="0"/>
        <w:ind w:left="709" w:firstLine="11"/>
        <w:jc w:val="center"/>
        <w:rPr>
          <w:rFonts w:ascii="Times New Roman" w:hAnsi="Times New Roman" w:cs="Times New Roman"/>
          <w:i/>
        </w:rPr>
      </w:pPr>
      <w:hyperlink r:id="rId10" w:history="1">
        <w:r w:rsidRPr="001C30FA">
          <w:rPr>
            <w:rStyle w:val="Hyperlink"/>
            <w:rFonts w:ascii="Times New Roman" w:hAnsi="Times New Roman" w:cs="Times New Roman"/>
            <w:i/>
          </w:rPr>
          <w:t>https://jbasic.org/index.php/basicedu</w:t>
        </w:r>
      </w:hyperlink>
    </w:p>
    <w:p w:rsidR="004161D4" w:rsidRDefault="004161D4">
      <w:pPr>
        <w:spacing w:after="0"/>
        <w:ind w:left="709" w:firstLine="11"/>
        <w:jc w:val="center"/>
        <w:rPr>
          <w:rFonts w:ascii="Times New Roman" w:hAnsi="Times New Roman" w:cs="Times New Roman"/>
          <w:b/>
          <w:bCs/>
          <w:sz w:val="24"/>
          <w:szCs w:val="24"/>
          <w:lang w:val="en-US"/>
        </w:rPr>
      </w:pPr>
    </w:p>
    <w:p w:rsidR="00E61A21" w:rsidRDefault="004161D4">
      <w:pPr>
        <w:autoSpaceDE w:val="0"/>
        <w:autoSpaceDN w:val="0"/>
        <w:adjustRightInd w:val="0"/>
        <w:spacing w:after="0" w:line="240" w:lineRule="auto"/>
        <w:jc w:val="center"/>
        <w:rPr>
          <w:rFonts w:ascii="Times New Roman" w:hAnsi="Times New Roman"/>
          <w:b/>
          <w:sz w:val="28"/>
          <w:szCs w:val="28"/>
          <w:lang w:val="en-US"/>
        </w:rPr>
      </w:pPr>
      <w:r w:rsidRPr="004161D4">
        <w:rPr>
          <w:rFonts w:ascii="Times New Roman" w:hAnsi="Times New Roman"/>
          <w:b/>
          <w:sz w:val="28"/>
          <w:szCs w:val="28"/>
          <w:lang w:val="en-US"/>
        </w:rPr>
        <w:t>PROBLEM-BASED LEARNING MODE</w:t>
      </w:r>
      <w:r>
        <w:rPr>
          <w:rFonts w:ascii="Times New Roman" w:hAnsi="Times New Roman"/>
          <w:b/>
          <w:sz w:val="28"/>
          <w:szCs w:val="28"/>
          <w:lang w:val="en-US"/>
        </w:rPr>
        <w:t>L TO INCREASE CRITICAL THINKING</w:t>
      </w:r>
    </w:p>
    <w:p w:rsidR="004161D4" w:rsidRDefault="004161D4">
      <w:pPr>
        <w:autoSpaceDE w:val="0"/>
        <w:autoSpaceDN w:val="0"/>
        <w:adjustRightInd w:val="0"/>
        <w:spacing w:after="0" w:line="240" w:lineRule="auto"/>
        <w:jc w:val="center"/>
        <w:rPr>
          <w:rFonts w:ascii="Times New Roman" w:hAnsi="Times New Roman" w:cs="Times New Roman"/>
          <w:b/>
          <w:bCs/>
          <w:color w:val="000000"/>
          <w:sz w:val="24"/>
          <w:szCs w:val="24"/>
        </w:rPr>
      </w:pPr>
    </w:p>
    <w:p w:rsidR="004161D4" w:rsidRPr="004161D4" w:rsidRDefault="004F347C" w:rsidP="004161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Nama Penulis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rsidR="004161D4" w:rsidRDefault="004161D4" w:rsidP="004161D4">
      <w:pPr>
        <w:pStyle w:val="Afiliasi"/>
        <w:rPr>
          <w:rFonts w:eastAsia="Times New Roman"/>
          <w:sz w:val="22"/>
          <w:szCs w:val="24"/>
        </w:rPr>
      </w:pPr>
      <w:r>
        <w:rPr>
          <w:rFonts w:eastAsia="Times New Roman"/>
          <w:sz w:val="22"/>
          <w:szCs w:val="24"/>
          <w:vertAlign w:val="superscript"/>
          <w:lang w:val="en-US"/>
        </w:rPr>
        <w:t>1</w:t>
      </w:r>
      <w:r>
        <w:rPr>
          <w:rFonts w:eastAsia="Times New Roman"/>
          <w:sz w:val="22"/>
          <w:szCs w:val="24"/>
        </w:rPr>
        <w:t xml:space="preserve">Dian Permatasari Kusuma Dayu*, </w:t>
      </w:r>
      <w:r>
        <w:rPr>
          <w:rFonts w:eastAsia="Times New Roman"/>
          <w:sz w:val="22"/>
          <w:szCs w:val="24"/>
          <w:vertAlign w:val="superscript"/>
          <w:lang w:val="en-US"/>
        </w:rPr>
        <w:t>2</w:t>
      </w:r>
      <w:r w:rsidRPr="004161D4">
        <w:rPr>
          <w:rFonts w:eastAsia="Times New Roman"/>
          <w:sz w:val="22"/>
          <w:szCs w:val="24"/>
        </w:rPr>
        <w:t xml:space="preserve">Cerianing putri Pratiwi </w:t>
      </w:r>
    </w:p>
    <w:p w:rsidR="004161D4" w:rsidRDefault="004F347C" w:rsidP="004161D4">
      <w:pPr>
        <w:pStyle w:val="Afiliasi"/>
        <w:rPr>
          <w:sz w:val="22"/>
          <w:szCs w:val="24"/>
        </w:rPr>
      </w:pPr>
      <w:r>
        <w:rPr>
          <w:sz w:val="22"/>
          <w:szCs w:val="24"/>
        </w:rPr>
        <w:t xml:space="preserve">Afiliasi </w:t>
      </w:r>
      <w:r w:rsidR="004161D4" w:rsidRPr="004161D4">
        <w:rPr>
          <w:sz w:val="22"/>
          <w:szCs w:val="24"/>
        </w:rPr>
        <w:t>Prodi PGSD FKIP, Universitas PGRI Madiun.</w:t>
      </w:r>
    </w:p>
    <w:p w:rsidR="00E61A21" w:rsidRDefault="004161D4">
      <w:pPr>
        <w:pStyle w:val="Afiliasi"/>
        <w:rPr>
          <w:sz w:val="22"/>
          <w:szCs w:val="24"/>
        </w:rPr>
      </w:pPr>
      <w:r>
        <w:rPr>
          <w:sz w:val="22"/>
          <w:szCs w:val="24"/>
        </w:rPr>
        <w:t>Alamat e-mail: dayuprasanda12@gmail.com</w:t>
      </w:r>
    </w:p>
    <w:p w:rsidR="00E61A21" w:rsidRDefault="00E61A21">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E61A21" w:rsidRDefault="00E61A21">
      <w:pPr>
        <w:autoSpaceDE w:val="0"/>
        <w:autoSpaceDN w:val="0"/>
        <w:adjustRightInd w:val="0"/>
        <w:spacing w:after="0" w:line="240" w:lineRule="auto"/>
        <w:jc w:val="center"/>
        <w:rPr>
          <w:szCs w:val="24"/>
          <w:lang w:val="en-US"/>
        </w:rPr>
      </w:pPr>
    </w:p>
    <w:p w:rsidR="00E61A21" w:rsidRDefault="004F347C">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356B27" w:rsidRDefault="00356B27">
      <w:pPr>
        <w:pStyle w:val="abstrak"/>
        <w:spacing w:after="120"/>
        <w:ind w:left="0" w:right="57"/>
        <w:rPr>
          <w:sz w:val="22"/>
          <w:szCs w:val="22"/>
        </w:rPr>
      </w:pPr>
      <w:r w:rsidRPr="00356B27">
        <w:rPr>
          <w:sz w:val="22"/>
          <w:szCs w:val="22"/>
        </w:rPr>
        <w:t xml:space="preserve">Penelitian ini bertujuan untuk mendeskripsikan penerapan model pembelajaran berbasis masalah (PBL) terhadap keterampilan berpikir kritis siswa kelas V Sekolah Dasar. Metode yang digunakan dalam penelitian ini adalah penelitian tindakan kelas. Dalam penelitian ini terdapat dua data yaitu data verbal dan data nonverbal. Subyek penelitian ini adalah siswa sekolah dasar kelas 5 di kota Madiun. Pengumpulan data menggunakan teknik observasi, wawancara dan tes. Instrumen dalam penelitian ini menggunakan angket dan tes. Teknik analisis data dalam penelitian ini adalah analisis data kuantitatif dan kualitatif. Analisis data kualitatif menggunakan data angket dan observasi, sedangkan data kuantitatif menggunakan hasil tes. Hasil penelitian ini menunjukkan adanya peningkatan kemampuan berpikir kritis siswa pada pembelajaran tematik dari siklus 1 dan siklus 2. Peningkatan kemampuan berpikir kritis siswa pada siklus I sebesar 30%, siswa yang lulus KKM, dan 60% siklus kedua di setiap siklus. Semakin banyak siswa mengalami peningkatan kemampuan berpikir kritisnya. </w:t>
      </w:r>
    </w:p>
    <w:p w:rsidR="00E61A21" w:rsidRDefault="004F347C">
      <w:pPr>
        <w:pStyle w:val="abstrak"/>
        <w:spacing w:after="120"/>
        <w:ind w:left="0" w:right="57"/>
        <w:rPr>
          <w:sz w:val="22"/>
          <w:szCs w:val="22"/>
          <w:lang w:val="id-ID"/>
        </w:rPr>
      </w:pPr>
      <w:r>
        <w:rPr>
          <w:b/>
          <w:sz w:val="22"/>
          <w:szCs w:val="22"/>
          <w:lang w:val="id-ID"/>
        </w:rPr>
        <w:t xml:space="preserve">Kata Kunci: </w:t>
      </w:r>
      <w:r w:rsidR="00356B27" w:rsidRPr="00356B27">
        <w:rPr>
          <w:i/>
          <w:sz w:val="22"/>
          <w:szCs w:val="22"/>
          <w:lang w:val="id-ID"/>
        </w:rPr>
        <w:t>Keterampilan berpikir kritis, Pembelajaran berbasis masalah, Pembelajaran tematik.</w:t>
      </w:r>
    </w:p>
    <w:p w:rsidR="00E61A21" w:rsidRDefault="00E61A21">
      <w:pPr>
        <w:pStyle w:val="abstrak"/>
        <w:spacing w:after="120"/>
        <w:ind w:left="0" w:right="57"/>
        <w:rPr>
          <w:sz w:val="22"/>
          <w:szCs w:val="22"/>
          <w:lang w:val="id-ID"/>
        </w:rPr>
      </w:pPr>
    </w:p>
    <w:p w:rsidR="00E61A21" w:rsidRDefault="004F347C">
      <w:pPr>
        <w:pStyle w:val="StyleAuthorBold"/>
        <w:spacing w:before="120" w:after="120"/>
        <w:jc w:val="left"/>
        <w:rPr>
          <w:lang w:val="id-ID"/>
        </w:rPr>
      </w:pPr>
      <w:r>
        <w:rPr>
          <w:lang w:val="id-ID"/>
        </w:rPr>
        <w:t>Abstract</w:t>
      </w:r>
    </w:p>
    <w:p w:rsidR="004161D4" w:rsidRPr="004161D4" w:rsidRDefault="004161D4" w:rsidP="004161D4">
      <w:pPr>
        <w:spacing w:after="0" w:line="240" w:lineRule="auto"/>
        <w:ind w:right="95"/>
        <w:jc w:val="both"/>
        <w:rPr>
          <w:rFonts w:ascii="Times New Roman" w:hAnsi="Times New Roman" w:cs="Times New Roman"/>
          <w:color w:val="000000"/>
          <w:sz w:val="20"/>
          <w:szCs w:val="20"/>
          <w:lang w:val="en-US"/>
        </w:rPr>
      </w:pPr>
      <w:r w:rsidRPr="004161D4">
        <w:rPr>
          <w:rFonts w:ascii="Times New Roman" w:hAnsi="Times New Roman" w:cs="Times New Roman"/>
          <w:color w:val="000000"/>
          <w:sz w:val="20"/>
          <w:szCs w:val="20"/>
          <w:lang w:val="en-US"/>
        </w:rPr>
        <w:t>This study aims to describe the application of problem-based learning (PBL) models to the critical thinking skills of 5th graders at Elementary School. The method used in this research is classroom action research. In this study, there are two data, namely verbal data and nonverbal data. The research subjects were elementary school students in grade 5 in the city of Madiun. The collecting data using observation techniques, interviews and tests. The instrument in this study used a questionnaire and a test. The data analysis technique in this research is quantitative and qualitative data analysis. Qualitative data analysis uses questionnaire data and observation, while quantitative data uses test results. The results of this study indicate an increase in students' critical thinking skills in thematic learning from cycle 1 and cycle 2. An increase in students' critical thinking skills in cycle I is 30%, students who pass the Minimum Completeness Criteria, and 60% of the second cycle in each cycle. The more students experience an increase in their critical thinking skills.</w:t>
      </w:r>
    </w:p>
    <w:p w:rsidR="00E61A21" w:rsidRDefault="004F3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w:t>
      </w:r>
      <w:r>
        <w:rPr>
          <w:b/>
        </w:rPr>
        <w:t>eywords:</w:t>
      </w:r>
      <w:r>
        <w:t xml:space="preserve"> </w:t>
      </w:r>
      <w:r w:rsidR="004161D4" w:rsidRPr="004161D4">
        <w:rPr>
          <w:i/>
        </w:rPr>
        <w:t>Critical thinking skills, Problem-based learning, Thematic learning.</w:t>
      </w:r>
    </w:p>
    <w:p w:rsidR="00E61A21" w:rsidRDefault="00E61A21">
      <w:pPr>
        <w:spacing w:after="0" w:line="240" w:lineRule="auto"/>
        <w:jc w:val="both"/>
        <w:rPr>
          <w:rFonts w:asciiTheme="majorBidi" w:hAnsiTheme="majorBidi" w:cs="Times New Roman"/>
          <w:i/>
          <w:color w:val="000000" w:themeColor="text1"/>
          <w:lang w:val="en-US"/>
        </w:rPr>
      </w:pPr>
    </w:p>
    <w:p w:rsidR="00E61A21" w:rsidRDefault="004F347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w:t>
      </w:r>
      <w:r>
        <w:rPr>
          <w:rFonts w:ascii="TimesNewRomanPSMT" w:hAnsi="TimesNewRomanPSMT"/>
          <w:color w:val="000000"/>
          <w:lang w:val="en-US"/>
        </w:rPr>
        <w:t>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E61A21" w:rsidRDefault="004F347C">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E61A21" w:rsidRDefault="004F347C">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E61A21" w:rsidRDefault="004F347C">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E61A21" w:rsidRDefault="004F347C">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E61A21" w:rsidRDefault="00E61A21">
      <w:pPr>
        <w:tabs>
          <w:tab w:val="left" w:pos="851"/>
          <w:tab w:val="left" w:pos="6237"/>
        </w:tabs>
        <w:autoSpaceDE w:val="0"/>
        <w:autoSpaceDN w:val="0"/>
        <w:adjustRightInd w:val="0"/>
        <w:spacing w:after="0" w:line="240" w:lineRule="auto"/>
        <w:rPr>
          <w:rFonts w:ascii="Times New Roman" w:hAnsi="Times New Roman" w:cs="Times New Roman"/>
        </w:rPr>
      </w:pPr>
    </w:p>
    <w:p w:rsidR="00E61A21" w:rsidRDefault="004F347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E61A21" w:rsidRDefault="00E61A21">
      <w:pPr>
        <w:tabs>
          <w:tab w:val="left" w:pos="851"/>
          <w:tab w:val="left" w:pos="6237"/>
        </w:tabs>
        <w:autoSpaceDE w:val="0"/>
        <w:autoSpaceDN w:val="0"/>
        <w:adjustRightInd w:val="0"/>
        <w:spacing w:after="0" w:line="240" w:lineRule="auto"/>
        <w:rPr>
          <w:rFonts w:ascii="Times New Roman" w:hAnsi="Times New Roman" w:cs="Times New Roman"/>
        </w:rPr>
      </w:pPr>
    </w:p>
    <w:p w:rsidR="00E61A21" w:rsidRDefault="00E61A21">
      <w:pPr>
        <w:tabs>
          <w:tab w:val="left" w:pos="851"/>
          <w:tab w:val="left" w:pos="6237"/>
        </w:tabs>
        <w:autoSpaceDE w:val="0"/>
        <w:autoSpaceDN w:val="0"/>
        <w:adjustRightInd w:val="0"/>
        <w:spacing w:after="0" w:line="240" w:lineRule="auto"/>
        <w:rPr>
          <w:rFonts w:ascii="Times New Roman" w:hAnsi="Times New Roman" w:cs="Times New Roman"/>
          <w:lang w:val="en-US"/>
        </w:rPr>
        <w:sectPr w:rsidR="00E61A21">
          <w:footerReference w:type="default" r:id="rId11"/>
          <w:pgSz w:w="11906" w:h="16838"/>
          <w:pgMar w:top="1440" w:right="1080" w:bottom="1440" w:left="1080" w:header="851" w:footer="709" w:gutter="0"/>
          <w:pgNumType w:start="1"/>
          <w:cols w:space="708"/>
          <w:docGrid w:linePitch="360"/>
        </w:sectPr>
      </w:pPr>
    </w:p>
    <w:p w:rsidR="00E61A21" w:rsidRDefault="00E61A21">
      <w:pPr>
        <w:rPr>
          <w:lang w:val="en-US"/>
        </w:rPr>
        <w:sectPr w:rsidR="00E61A21">
          <w:headerReference w:type="default" r:id="rId12"/>
          <w:type w:val="continuous"/>
          <w:pgSz w:w="11906" w:h="16838"/>
          <w:pgMar w:top="1440" w:right="1080" w:bottom="1440" w:left="1080" w:header="851" w:footer="709" w:gutter="0"/>
          <w:pgNumType w:start="1"/>
          <w:cols w:num="2" w:space="708"/>
          <w:docGrid w:linePitch="360"/>
        </w:sectPr>
      </w:pPr>
    </w:p>
    <w:p w:rsidR="00E61A21" w:rsidRDefault="00E61A21">
      <w:pPr>
        <w:tabs>
          <w:tab w:val="left" w:pos="6030"/>
        </w:tabs>
        <w:spacing w:after="0"/>
        <w:jc w:val="both"/>
        <w:rPr>
          <w:rFonts w:ascii="Times New Roman" w:hAnsi="Times New Roman" w:cs="Times New Roman"/>
          <w:color w:val="000000" w:themeColor="text1"/>
          <w:lang w:val="en-US"/>
        </w:rPr>
        <w:sectPr w:rsidR="00E61A21">
          <w:headerReference w:type="default" r:id="rId13"/>
          <w:type w:val="continuous"/>
          <w:pgSz w:w="11906" w:h="16838"/>
          <w:pgMar w:top="1440" w:right="1080" w:bottom="1440" w:left="1080" w:header="851" w:footer="709" w:gutter="0"/>
          <w:pgNumType w:start="2"/>
          <w:cols w:num="2" w:space="708"/>
          <w:docGrid w:linePitch="360"/>
        </w:sectPr>
      </w:pPr>
    </w:p>
    <w:p w:rsidR="00E61A21" w:rsidRDefault="00E61A21">
      <w:pPr>
        <w:tabs>
          <w:tab w:val="left" w:pos="6030"/>
        </w:tabs>
        <w:spacing w:after="0"/>
        <w:jc w:val="both"/>
        <w:rPr>
          <w:rFonts w:ascii="Times New Roman" w:hAnsi="Times New Roman" w:cs="Times New Roman"/>
          <w:color w:val="000000" w:themeColor="text1"/>
          <w:lang w:val="en-US"/>
        </w:rPr>
        <w:sectPr w:rsidR="00E61A21">
          <w:type w:val="continuous"/>
          <w:pgSz w:w="11906" w:h="16838"/>
          <w:pgMar w:top="1440" w:right="1080" w:bottom="1440" w:left="1080" w:header="851" w:footer="709" w:gutter="0"/>
          <w:pgNumType w:start="201"/>
          <w:cols w:space="708"/>
          <w:docGrid w:linePitch="360"/>
        </w:sectPr>
      </w:pPr>
    </w:p>
    <w:p w:rsidR="004161D4" w:rsidRPr="004161D4" w:rsidRDefault="004161D4" w:rsidP="004161D4">
      <w:pPr>
        <w:shd w:val="clear" w:color="auto" w:fill="FFFFFF"/>
        <w:spacing w:after="0" w:line="240" w:lineRule="auto"/>
        <w:jc w:val="both"/>
        <w:rPr>
          <w:rFonts w:ascii="Times New Roman" w:hAnsi="Times New Roman" w:cs="Times New Roman"/>
          <w:color w:val="000000"/>
          <w:sz w:val="24"/>
          <w:szCs w:val="24"/>
          <w:lang w:val="en-US"/>
        </w:rPr>
      </w:pPr>
      <w:r w:rsidRPr="004161D4">
        <w:rPr>
          <w:rFonts w:ascii="Times New Roman" w:hAnsi="Times New Roman" w:cs="Times New Roman"/>
          <w:b/>
          <w:color w:val="000000"/>
          <w:sz w:val="24"/>
          <w:szCs w:val="24"/>
          <w:lang w:val="en-US"/>
        </w:rPr>
        <w:lastRenderedPageBreak/>
        <w:t xml:space="preserve">INTRODUCTION </w:t>
      </w:r>
    </w:p>
    <w:p w:rsidR="004161D4" w:rsidRPr="004161D4" w:rsidRDefault="004161D4" w:rsidP="004161D4">
      <w:pPr>
        <w:spacing w:after="0"/>
        <w:ind w:right="-5"/>
        <w:jc w:val="both"/>
        <w:rPr>
          <w:rFonts w:ascii="Times New Roman" w:eastAsia="Calibri" w:hAnsi="Times New Roman" w:cs="Calibri"/>
          <w:sz w:val="24"/>
          <w:szCs w:val="24"/>
          <w:lang w:val="en-US"/>
        </w:rPr>
      </w:pPr>
      <w:r w:rsidRPr="004161D4">
        <w:rPr>
          <w:rFonts w:ascii="Times New Roman" w:eastAsia="Calibri" w:hAnsi="Times New Roman" w:cs="Calibri"/>
          <w:sz w:val="24"/>
          <w:szCs w:val="24"/>
          <w:lang w:val="en-US"/>
        </w:rPr>
        <w:t>In the era of the 21st century, competition in the world of work is getting tougher. For students to have high competitiveness, students need to be equipped with high-level thinking skills. It is based on the fact that when entering the workforce, students lack higher-order thinking skills, the ability to diagnose and solve problems, apply their skills to new, unfamiliar problems, and work effectively in groups. Higher-order thinking skills need to be developed by teachers in the implementation of learning activities for several reasons; first, currently, students are entering the information age where students are surrounded by complete information. In addition, the information around students is not necessarily true, so in this case, students need to be equipped with skills in processing and applying the information obtained to become smart citizens and participate in the life of a democratic society.</w:t>
      </w:r>
    </w:p>
    <w:p w:rsidR="004161D4" w:rsidRPr="004161D4" w:rsidRDefault="004161D4" w:rsidP="004161D4">
      <w:pPr>
        <w:spacing w:after="0"/>
        <w:ind w:right="-5"/>
        <w:jc w:val="both"/>
        <w:rPr>
          <w:rFonts w:ascii="Times New Roman" w:eastAsia="Calibri" w:hAnsi="Times New Roman" w:cs="Calibri"/>
          <w:sz w:val="24"/>
          <w:szCs w:val="24"/>
          <w:lang w:val="en-US"/>
        </w:rPr>
      </w:pPr>
      <w:r w:rsidRPr="004161D4">
        <w:rPr>
          <w:rFonts w:ascii="Times New Roman" w:eastAsia="Calibri" w:hAnsi="Times New Roman" w:cs="Calibri"/>
          <w:sz w:val="24"/>
          <w:szCs w:val="24"/>
          <w:lang w:val="en-US"/>
        </w:rPr>
        <w:tab/>
        <w:t>Higher-order thinking skills have a higher level of thinking than memorizing facts or retelling something heard. Memorizing facts or retelling are included in low-level thinking skills because students are similar to robots that only repeat what they get and do what they are told so that they don't do it through a deep thinking process (Yuliati &amp; Lestari, 2018). HOTS is more an act of concluding, connecting with facts and other concepts, manipulating, categorizing, combining in new ways, and applying them to find new solutions to new problems (Sulaiman., 2017).</w:t>
      </w:r>
    </w:p>
    <w:p w:rsidR="004161D4" w:rsidRPr="004161D4" w:rsidRDefault="004161D4" w:rsidP="004161D4">
      <w:pPr>
        <w:spacing w:after="0"/>
        <w:ind w:right="-5" w:firstLine="720"/>
        <w:jc w:val="both"/>
        <w:rPr>
          <w:rFonts w:ascii="Times New Roman" w:eastAsia="Calibri" w:hAnsi="Times New Roman" w:cs="Calibri"/>
          <w:sz w:val="24"/>
          <w:szCs w:val="24"/>
          <w:lang w:val="en-US"/>
        </w:rPr>
      </w:pPr>
      <w:r w:rsidRPr="004161D4">
        <w:rPr>
          <w:rFonts w:ascii="Times New Roman" w:eastAsia="Calibri" w:hAnsi="Times New Roman" w:cs="Calibri"/>
          <w:sz w:val="24"/>
          <w:szCs w:val="24"/>
          <w:lang w:val="en-US"/>
        </w:rPr>
        <w:t>The learning process in thematic learning in elementary schools in Madiun lacks variety in transmitting knowledge. The application of unattractive learning models causes students to be bored and not enthusiastic about participating in learning activities. As a result, the class becomes passive, and students' higher order thinking levels cannot develop. With higher-order thinking, students can improve their learning outcomes. It is the learning model that must be developed in thematic learning and the teacher's way of teaching in the classroom. The selection and use of the right learning model can be a success factor in forming students' critical thinking skills. With the applied learning model, it is expected to form and develop critical thinking skills. One of the learning models that are thought to facilitate students' critical thinking processes is the problem-based learning model.</w:t>
      </w:r>
    </w:p>
    <w:p w:rsidR="004161D4" w:rsidRPr="004161D4" w:rsidRDefault="004161D4" w:rsidP="004161D4">
      <w:pPr>
        <w:spacing w:after="0"/>
        <w:ind w:right="-5" w:firstLine="720"/>
        <w:jc w:val="both"/>
        <w:rPr>
          <w:rFonts w:ascii="Times New Roman" w:eastAsia="Calibri" w:hAnsi="Times New Roman" w:cs="Calibri"/>
          <w:sz w:val="24"/>
          <w:szCs w:val="24"/>
          <w:lang w:val="en-US"/>
        </w:rPr>
      </w:pPr>
      <w:r w:rsidRPr="004161D4">
        <w:rPr>
          <w:rFonts w:ascii="Times New Roman" w:eastAsia="Calibri" w:hAnsi="Times New Roman" w:cs="Calibri"/>
          <w:sz w:val="24"/>
          <w:szCs w:val="24"/>
          <w:lang w:val="en-US"/>
        </w:rPr>
        <w:t>The PBL method asks students to acquire and develop core learning concepts through collaborative projects that require learning and application of contextual knowledge, (Kokotsaki, 2016). The problem-based learning model is a method that requires finding a sound or practical solution to a particular problem through conducting research. PBL is integrated with inquiry-based learning through mentors who trigger higher-order thinking and act as facilitators who help improve the learning process to arrive at the information needed (Buheji, 2020). PBL is an instructional method in which relevant problems are introduced early in the instruction cycle and provide context and motivation for subsequent learning (Prince, 2004). The PBL model is a learning model that uses real-world problems as a context for students to learn about critical thinking and problem-solving skills and acquire knowledge and concepts that are the core of the subject (Silver, 2004). The teacher actively and collaboratively carries out PBL learning activities so that students have more opportunities to exchange ideas and criticize various opinions submitted by friends to solve the problems presented.</w:t>
      </w:r>
    </w:p>
    <w:p w:rsidR="004161D4" w:rsidRPr="004161D4" w:rsidRDefault="004161D4" w:rsidP="004161D4">
      <w:pPr>
        <w:spacing w:after="0"/>
        <w:ind w:right="-5" w:firstLine="720"/>
        <w:jc w:val="both"/>
        <w:rPr>
          <w:rFonts w:ascii="Times New Roman" w:eastAsia="Calibri" w:hAnsi="Times New Roman" w:cs="Calibri"/>
          <w:sz w:val="24"/>
          <w:szCs w:val="24"/>
          <w:lang w:val="en-US"/>
        </w:rPr>
      </w:pPr>
      <w:r w:rsidRPr="004161D4">
        <w:rPr>
          <w:rFonts w:ascii="Times New Roman" w:eastAsia="Calibri" w:hAnsi="Times New Roman" w:cs="Calibri"/>
          <w:sz w:val="24"/>
          <w:szCs w:val="24"/>
          <w:lang w:val="en-US"/>
        </w:rPr>
        <w:lastRenderedPageBreak/>
        <w:t>Thus, without the need to memorize knowledge, students will gain the ability to conceptualize learning. One approach that targets learning through self-experience and finding knowledge uses a problem-based learning model. The learning process using a problem-based learning model is formed in groups, where there is a small collaborative group consisting of 6 or 8 students with guidance from the teacher. They solve problems or problems that must discuss by the teacher. The PBL learning model positively affects students' academic achievement and attitudes towards learning and developing students' concepts and misconceptions in the classroom (Kartal, 2014). The PBL learning model is the key for students to transfer the knowledge and skills they learn in math class to real life and solve everyday problems (Nese, 2014).</w:t>
      </w:r>
    </w:p>
    <w:p w:rsidR="004161D4" w:rsidRPr="004161D4" w:rsidRDefault="004161D4" w:rsidP="004161D4">
      <w:pPr>
        <w:spacing w:after="0"/>
        <w:ind w:right="-5" w:firstLine="720"/>
        <w:jc w:val="both"/>
        <w:rPr>
          <w:rFonts w:ascii="Times New Roman" w:eastAsia="Calibri" w:hAnsi="Times New Roman" w:cs="Calibri"/>
          <w:sz w:val="24"/>
          <w:szCs w:val="24"/>
          <w:lang w:val="en-US"/>
        </w:rPr>
      </w:pPr>
      <w:r w:rsidRPr="004161D4">
        <w:rPr>
          <w:rFonts w:ascii="Times New Roman" w:eastAsia="Calibri" w:hAnsi="Times New Roman" w:cs="Calibri"/>
          <w:sz w:val="24"/>
          <w:szCs w:val="24"/>
          <w:lang w:val="en-US"/>
        </w:rPr>
        <w:t>Problem Based Learning requires students to be more active in the learning process because students rely on the teacher as a source of information and take advantage of other learning resources. The facts show that problem-based learning can effectively facilitate students' argumentation skills, control variables, and theoretical reasoning skills (Wulandari, 2018). PBL has the characteristics of collaborative, communicative, and cooperative learning. Students work in groups, interact, work together (peer teaching) and make presentations (Abosalem, 2016). The PBL learning model provides opportunities for students to acquire skills in problem-solving so that they can be developed higher-order thinking skills (Chadziqoh, 2018). Therefore, this study aims to close this gap by examining the effect of the PBL learning model on higher order thinking skills. The results of this study contribute as useful insights for teachers to develop high-order thinking skills of elementary school students.</w:t>
      </w:r>
    </w:p>
    <w:p w:rsidR="004161D4" w:rsidRPr="004161D4" w:rsidRDefault="004161D4" w:rsidP="004161D4">
      <w:pPr>
        <w:spacing w:after="0"/>
        <w:ind w:right="-5"/>
        <w:jc w:val="both"/>
        <w:rPr>
          <w:rFonts w:ascii="Times New Roman" w:eastAsia="Calibri" w:hAnsi="Times New Roman" w:cs="Times New Roman"/>
          <w:sz w:val="24"/>
          <w:szCs w:val="24"/>
          <w:lang w:val="sv-SE"/>
        </w:rPr>
      </w:pPr>
    </w:p>
    <w:p w:rsidR="004161D4" w:rsidRPr="004161D4" w:rsidRDefault="004161D4" w:rsidP="004161D4">
      <w:pPr>
        <w:shd w:val="clear" w:color="auto" w:fill="FFFFFF"/>
        <w:spacing w:after="0" w:line="240" w:lineRule="auto"/>
        <w:jc w:val="both"/>
        <w:rPr>
          <w:rFonts w:ascii="Times New Roman" w:hAnsi="Times New Roman" w:cs="Times New Roman"/>
          <w:color w:val="000000"/>
          <w:sz w:val="24"/>
          <w:szCs w:val="24"/>
          <w:lang w:val="en-US"/>
        </w:rPr>
      </w:pPr>
      <w:r w:rsidRPr="004161D4">
        <w:rPr>
          <w:rFonts w:ascii="Times New Roman" w:eastAsia="Calibri" w:hAnsi="Times New Roman" w:cs="Calibri"/>
          <w:b/>
          <w:color w:val="000000"/>
          <w:sz w:val="24"/>
          <w:szCs w:val="24"/>
          <w:lang w:val="en-US"/>
        </w:rPr>
        <w:t xml:space="preserve">RESEARCH METHOD </w:t>
      </w:r>
    </w:p>
    <w:p w:rsidR="004161D4" w:rsidRPr="004161D4" w:rsidRDefault="004161D4" w:rsidP="004161D4">
      <w:pPr>
        <w:spacing w:after="0"/>
        <w:ind w:right="-5"/>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The research used is Classroom Action Research (CAR). Classroom action research is an effort to observe the learning activities of a group of students by providing an action (treatment) that is deliberately raised” (Mulyasa, 2011: 11). The specific purpose of this CAR (classroom action research) is to provide improvements and improvements to teacher services in overcoming problems that exist in the teaching and learning process. Classroom action research collects data about the implementation of various activities, successes, and problems that arise, analyzes them, develops plans, and carries out improvement activities to improve the quality of classroom action research.</w:t>
      </w:r>
    </w:p>
    <w:p w:rsidR="004161D4" w:rsidRPr="004161D4" w:rsidRDefault="004161D4" w:rsidP="004161D4">
      <w:pPr>
        <w:spacing w:after="0"/>
        <w:ind w:right="-5" w:firstLine="720"/>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Data collection techniques used questionnaires and tests to determine students' critical thinking skills. This classroom action research can be successful if it can improve critical thinking skills in the thematic learning of fifth-grade students at SDN 1 Pilangbango. Suppose there is an increase of ≥ 50% of all students (classically). In that case, I can be categorized that research on improving critical thinking skills in the thematic learning of fifth-grade students at SDN 1 Pilangbango using a problem-based learning model is successful. This research aims to use a problem-based learning model to improve critical thinking skills in thematic learning of fifth-grade students at SDN 1 Pilangbango. The subjects of this study were fifth-grade students of SDN 1 Pilangbango. The data analysis technique used qualitative and quantitative data analysis.</w:t>
      </w:r>
    </w:p>
    <w:p w:rsidR="004161D4" w:rsidRPr="004161D4" w:rsidRDefault="004161D4" w:rsidP="004161D4">
      <w:pPr>
        <w:spacing w:after="0" w:line="240" w:lineRule="auto"/>
        <w:ind w:right="-5" w:firstLine="720"/>
        <w:jc w:val="both"/>
        <w:rPr>
          <w:rFonts w:ascii="Times New Roman" w:eastAsia="Calibri" w:hAnsi="Times New Roman" w:cs="Calibri"/>
          <w:sz w:val="24"/>
          <w:szCs w:val="24"/>
          <w:lang w:val="en-US"/>
        </w:rPr>
      </w:pPr>
    </w:p>
    <w:p w:rsidR="004161D4" w:rsidRPr="004161D4" w:rsidRDefault="004161D4" w:rsidP="004161D4">
      <w:pPr>
        <w:shd w:val="clear" w:color="auto" w:fill="FFFFFF"/>
        <w:spacing w:after="0" w:line="240" w:lineRule="auto"/>
        <w:jc w:val="both"/>
        <w:rPr>
          <w:rFonts w:ascii="Times New Roman" w:hAnsi="Times New Roman" w:cs="Times New Roman"/>
          <w:color w:val="000000"/>
          <w:sz w:val="24"/>
          <w:szCs w:val="24"/>
          <w:lang w:val="en-US"/>
        </w:rPr>
      </w:pPr>
      <w:r w:rsidRPr="004161D4">
        <w:rPr>
          <w:rFonts w:ascii="Times New Roman" w:eastAsia="Calibri" w:hAnsi="Times New Roman" w:cs="Times New Roman"/>
          <w:b/>
          <w:color w:val="000000"/>
          <w:sz w:val="24"/>
          <w:szCs w:val="24"/>
          <w:lang w:val="en-US"/>
        </w:rPr>
        <w:t xml:space="preserve">RESULT AND DISCUSSION </w:t>
      </w:r>
    </w:p>
    <w:p w:rsidR="004161D4" w:rsidRPr="004161D4" w:rsidRDefault="004161D4" w:rsidP="004161D4">
      <w:pPr>
        <w:spacing w:after="160"/>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Based on the results of research with Problem Based Learning learning models on students' critical thinking skills, the comparison can be seen from the results of the assessment cycle 1 and cycle 2. This can be seen in the table and diagram below:</w:t>
      </w:r>
    </w:p>
    <w:p w:rsidR="004161D4" w:rsidRPr="004161D4" w:rsidRDefault="004161D4" w:rsidP="004161D4">
      <w:pPr>
        <w:numPr>
          <w:ilvl w:val="0"/>
          <w:numId w:val="3"/>
        </w:numPr>
        <w:spacing w:after="160" w:line="259"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Implementation of Cycle I</w:t>
      </w:r>
    </w:p>
    <w:p w:rsidR="004161D4" w:rsidRPr="004161D4" w:rsidRDefault="004161D4" w:rsidP="004161D4">
      <w:pPr>
        <w:spacing w:after="16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2880"/>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Table 1. Critical Thinking Skills</w:t>
      </w:r>
    </w:p>
    <w:tbl>
      <w:tblPr>
        <w:tblW w:w="0" w:type="auto"/>
        <w:tblInd w:w="421" w:type="dxa"/>
        <w:tblBorders>
          <w:top w:val="single" w:sz="4" w:space="0" w:color="auto"/>
          <w:bottom w:val="single" w:sz="4" w:space="0" w:color="auto"/>
          <w:insideH w:val="single" w:sz="4" w:space="0" w:color="auto"/>
        </w:tblBorders>
        <w:tblLook w:val="04A0" w:firstRow="1" w:lastRow="0" w:firstColumn="1" w:lastColumn="0" w:noHBand="0" w:noVBand="1"/>
      </w:tblPr>
      <w:tblGrid>
        <w:gridCol w:w="1117"/>
        <w:gridCol w:w="1712"/>
        <w:gridCol w:w="946"/>
        <w:gridCol w:w="980"/>
        <w:gridCol w:w="926"/>
        <w:gridCol w:w="983"/>
        <w:gridCol w:w="961"/>
        <w:gridCol w:w="980"/>
      </w:tblGrid>
      <w:tr w:rsidR="004161D4" w:rsidRPr="004161D4" w:rsidTr="005A6102">
        <w:tc>
          <w:tcPr>
            <w:tcW w:w="1127"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 xml:space="preserve">Interval </w:t>
            </w:r>
          </w:p>
        </w:tc>
        <w:tc>
          <w:tcPr>
            <w:tcW w:w="1793"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 xml:space="preserve">Category </w:t>
            </w:r>
          </w:p>
        </w:tc>
        <w:tc>
          <w:tcPr>
            <w:tcW w:w="2005" w:type="dxa"/>
            <w:gridSpan w:val="2"/>
            <w:shd w:val="clear" w:color="auto" w:fill="auto"/>
          </w:tcPr>
          <w:p w:rsidR="004161D4" w:rsidRPr="004161D4" w:rsidRDefault="004161D4" w:rsidP="0041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rPr>
            </w:pPr>
            <w:r w:rsidRPr="004161D4">
              <w:rPr>
                <w:rFonts w:ascii="Times New Roman" w:hAnsi="Times New Roman" w:cs="Courier New"/>
                <w:b/>
                <w:sz w:val="24"/>
                <w:szCs w:val="24"/>
                <w:lang w:val="en-US"/>
              </w:rPr>
              <w:t xml:space="preserve"> </w:t>
            </w:r>
            <w:r w:rsidRPr="004161D4">
              <w:rPr>
                <w:rFonts w:ascii="Times New Roman" w:hAnsi="Times New Roman" w:cs="Times New Roman"/>
                <w:b/>
                <w:sz w:val="24"/>
                <w:szCs w:val="24"/>
                <w:lang w:val="en"/>
              </w:rPr>
              <w:t>Cycle</w:t>
            </w:r>
            <w:r w:rsidRPr="004161D4">
              <w:rPr>
                <w:rFonts w:ascii="Courier New" w:hAnsi="Courier New" w:cs="Courier New"/>
                <w:sz w:val="20"/>
                <w:szCs w:val="20"/>
                <w:lang w:val="en"/>
              </w:rPr>
              <w:t xml:space="preserve"> </w:t>
            </w:r>
            <w:r w:rsidRPr="004161D4">
              <w:rPr>
                <w:rFonts w:ascii="Times New Roman" w:hAnsi="Times New Roman" w:cs="Courier New"/>
                <w:b/>
                <w:sz w:val="24"/>
                <w:szCs w:val="24"/>
                <w:lang w:val="en-US"/>
              </w:rPr>
              <w:t>1</w:t>
            </w:r>
          </w:p>
        </w:tc>
        <w:tc>
          <w:tcPr>
            <w:tcW w:w="1982" w:type="dxa"/>
            <w:gridSpan w:val="2"/>
            <w:shd w:val="clear" w:color="auto" w:fill="auto"/>
          </w:tcPr>
          <w:p w:rsidR="004161D4" w:rsidRPr="004161D4" w:rsidRDefault="004161D4" w:rsidP="0041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rPr>
            </w:pPr>
            <w:r w:rsidRPr="004161D4">
              <w:rPr>
                <w:rFonts w:ascii="Times New Roman" w:hAnsi="Times New Roman" w:cs="Times New Roman"/>
                <w:b/>
                <w:sz w:val="24"/>
                <w:szCs w:val="24"/>
                <w:lang w:val="en"/>
              </w:rPr>
              <w:t>Percent</w:t>
            </w:r>
            <w:r w:rsidRPr="004161D4">
              <w:rPr>
                <w:rFonts w:ascii="Times New Roman" w:eastAsia="Calibri" w:hAnsi="Times New Roman" w:cs="Times New Roman"/>
                <w:b/>
                <w:sz w:val="24"/>
                <w:szCs w:val="24"/>
                <w:lang w:val="en-US"/>
              </w:rPr>
              <w:t xml:space="preserve"> (%)</w:t>
            </w:r>
          </w:p>
        </w:tc>
        <w:tc>
          <w:tcPr>
            <w:tcW w:w="2022" w:type="dxa"/>
            <w:gridSpan w:val="2"/>
            <w:shd w:val="clear" w:color="auto" w:fill="auto"/>
          </w:tcPr>
          <w:p w:rsidR="004161D4" w:rsidRPr="004161D4" w:rsidRDefault="004161D4" w:rsidP="0041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en-US"/>
              </w:rPr>
            </w:pPr>
            <w:r w:rsidRPr="004161D4">
              <w:rPr>
                <w:rFonts w:ascii="Times New Roman" w:hAnsi="Times New Roman" w:cs="Times New Roman"/>
                <w:b/>
                <w:sz w:val="24"/>
                <w:szCs w:val="24"/>
                <w:lang w:val="en"/>
              </w:rPr>
              <w:t>Average</w:t>
            </w:r>
          </w:p>
        </w:tc>
      </w:tr>
      <w:tr w:rsidR="004161D4" w:rsidRPr="004161D4" w:rsidTr="005A6102">
        <w:tc>
          <w:tcPr>
            <w:tcW w:w="1127"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p>
        </w:tc>
        <w:tc>
          <w:tcPr>
            <w:tcW w:w="1793"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p>
        </w:tc>
        <w:tc>
          <w:tcPr>
            <w:tcW w:w="989"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Pre-test</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Post-test</w:t>
            </w:r>
          </w:p>
        </w:tc>
        <w:tc>
          <w:tcPr>
            <w:tcW w:w="96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Pre-test</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Post-test</w:t>
            </w:r>
          </w:p>
        </w:tc>
        <w:tc>
          <w:tcPr>
            <w:tcW w:w="100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Pre-test</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Post-test</w:t>
            </w:r>
          </w:p>
        </w:tc>
      </w:tr>
      <w:tr w:rsidR="004161D4" w:rsidRPr="004161D4" w:rsidTr="005A6102">
        <w:tc>
          <w:tcPr>
            <w:tcW w:w="1127"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0-30</w:t>
            </w:r>
          </w:p>
        </w:tc>
        <w:tc>
          <w:tcPr>
            <w:tcW w:w="1793"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Very low</w:t>
            </w:r>
          </w:p>
        </w:tc>
        <w:tc>
          <w:tcPr>
            <w:tcW w:w="989"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5</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3</w:t>
            </w:r>
          </w:p>
        </w:tc>
        <w:tc>
          <w:tcPr>
            <w:tcW w:w="96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16,1</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9,66</w:t>
            </w:r>
          </w:p>
        </w:tc>
        <w:tc>
          <w:tcPr>
            <w:tcW w:w="1006"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62</w:t>
            </w:r>
          </w:p>
        </w:tc>
        <w:tc>
          <w:tcPr>
            <w:tcW w:w="1016"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65</w:t>
            </w:r>
          </w:p>
        </w:tc>
      </w:tr>
      <w:tr w:rsidR="004161D4" w:rsidRPr="004161D4" w:rsidTr="005A6102">
        <w:tc>
          <w:tcPr>
            <w:tcW w:w="1127"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31-50</w:t>
            </w:r>
          </w:p>
        </w:tc>
        <w:tc>
          <w:tcPr>
            <w:tcW w:w="1793"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Low</w:t>
            </w:r>
          </w:p>
        </w:tc>
        <w:tc>
          <w:tcPr>
            <w:tcW w:w="989"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5</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2</w:t>
            </w:r>
          </w:p>
        </w:tc>
        <w:tc>
          <w:tcPr>
            <w:tcW w:w="96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16,1</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6,44</w:t>
            </w:r>
          </w:p>
        </w:tc>
        <w:tc>
          <w:tcPr>
            <w:tcW w:w="100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1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r w:rsidR="004161D4" w:rsidRPr="004161D4" w:rsidTr="005A6102">
        <w:tc>
          <w:tcPr>
            <w:tcW w:w="1127"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51-70</w:t>
            </w:r>
          </w:p>
        </w:tc>
        <w:tc>
          <w:tcPr>
            <w:tcW w:w="1793"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Currently</w:t>
            </w:r>
          </w:p>
        </w:tc>
        <w:tc>
          <w:tcPr>
            <w:tcW w:w="989"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15</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18</w:t>
            </w:r>
          </w:p>
        </w:tc>
        <w:tc>
          <w:tcPr>
            <w:tcW w:w="96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48,3</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57,96</w:t>
            </w:r>
          </w:p>
        </w:tc>
        <w:tc>
          <w:tcPr>
            <w:tcW w:w="100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1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r w:rsidR="004161D4" w:rsidRPr="004161D4" w:rsidTr="005A6102">
        <w:tc>
          <w:tcPr>
            <w:tcW w:w="1127"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71-90</w:t>
            </w:r>
          </w:p>
        </w:tc>
        <w:tc>
          <w:tcPr>
            <w:tcW w:w="1793"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Tall</w:t>
            </w:r>
          </w:p>
        </w:tc>
        <w:tc>
          <w:tcPr>
            <w:tcW w:w="989"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3</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5</w:t>
            </w:r>
          </w:p>
        </w:tc>
        <w:tc>
          <w:tcPr>
            <w:tcW w:w="96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9,66</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16,1</w:t>
            </w:r>
          </w:p>
        </w:tc>
        <w:tc>
          <w:tcPr>
            <w:tcW w:w="100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1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r w:rsidR="004161D4" w:rsidRPr="004161D4" w:rsidTr="005A6102">
        <w:tc>
          <w:tcPr>
            <w:tcW w:w="1127"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91-100</w:t>
            </w:r>
          </w:p>
        </w:tc>
        <w:tc>
          <w:tcPr>
            <w:tcW w:w="1793"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Very high</w:t>
            </w:r>
          </w:p>
        </w:tc>
        <w:tc>
          <w:tcPr>
            <w:tcW w:w="989"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2</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2</w:t>
            </w:r>
          </w:p>
        </w:tc>
        <w:tc>
          <w:tcPr>
            <w:tcW w:w="96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6,44</w:t>
            </w:r>
          </w:p>
        </w:tc>
        <w:tc>
          <w:tcPr>
            <w:tcW w:w="1016"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6,44</w:t>
            </w:r>
          </w:p>
        </w:tc>
        <w:tc>
          <w:tcPr>
            <w:tcW w:w="100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1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bl>
    <w:p w:rsidR="004161D4" w:rsidRPr="004161D4" w:rsidRDefault="004161D4" w:rsidP="004161D4">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It seem that the critical thinking ability of students in thematic learning is that one student has very low thinking skills with a percentage value of 16.1%. In addition, some students achieve moderate thinking skills with a percentage value of 30%. The average pretest score showed a result of 63. Then the second cycle had to be carried out to find errors in learning that were predicted due to conceptual errors in applying the steps of the Problem-based learning model. Statistics on the results of students' critical thinking skills can be seen in the following diagram:</w:t>
      </w:r>
    </w:p>
    <w:p w:rsidR="004161D4" w:rsidRPr="004161D4" w:rsidRDefault="004161D4" w:rsidP="004161D4">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r w:rsidRPr="004161D4">
        <w:rPr>
          <w:rFonts w:eastAsia="Calibri" w:cs="Calibri"/>
          <w:noProof/>
          <w:lang w:val="en-US"/>
        </w:rPr>
        <w:drawing>
          <wp:anchor distT="6096" distB="3556" distL="120396" distR="122174" simplePos="0" relativeHeight="251663360" behindDoc="0" locked="0" layoutInCell="1" allowOverlap="1">
            <wp:simplePos x="0" y="0"/>
            <wp:positionH relativeFrom="column">
              <wp:posOffset>1535176</wp:posOffset>
            </wp:positionH>
            <wp:positionV relativeFrom="paragraph">
              <wp:posOffset>168656</wp:posOffset>
            </wp:positionV>
            <wp:extent cx="2698750" cy="1282065"/>
            <wp:effectExtent l="0" t="0" r="6350" b="13335"/>
            <wp:wrapSquare wrapText="bothSides"/>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4161D4" w:rsidRPr="004161D4" w:rsidRDefault="004161D4" w:rsidP="004161D4">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4161D4" w:rsidRPr="004161D4" w:rsidRDefault="004161D4" w:rsidP="004161D4">
      <w:pPr>
        <w:spacing w:after="160"/>
        <w:contextualSpacing/>
        <w:jc w:val="both"/>
        <w:rPr>
          <w:rFonts w:ascii="Times New Roman" w:eastAsia="Calibri" w:hAnsi="Times New Roman" w:cs="Times New Roman"/>
          <w:sz w:val="24"/>
          <w:szCs w:val="24"/>
          <w:lang w:val="en-US"/>
        </w:rPr>
      </w:pPr>
    </w:p>
    <w:p w:rsidR="004161D4" w:rsidRPr="004161D4" w:rsidRDefault="004161D4" w:rsidP="004161D4">
      <w:pPr>
        <w:spacing w:after="160"/>
        <w:contextualSpacing/>
        <w:jc w:val="both"/>
        <w:rPr>
          <w:rFonts w:ascii="Times New Roman" w:eastAsia="Calibri" w:hAnsi="Times New Roman" w:cs="Times New Roman"/>
          <w:sz w:val="24"/>
          <w:szCs w:val="24"/>
          <w:lang w:val="en-US"/>
        </w:rPr>
      </w:pPr>
    </w:p>
    <w:p w:rsidR="004161D4" w:rsidRPr="004161D4" w:rsidRDefault="004161D4" w:rsidP="004161D4">
      <w:pPr>
        <w:spacing w:after="16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1440"/>
        <w:contextualSpacing/>
        <w:jc w:val="both"/>
        <w:rPr>
          <w:rFonts w:ascii="Times New Roman" w:eastAsia="Calibri" w:hAnsi="Times New Roman" w:cs="Times New Roman"/>
          <w:lang w:val="en-US"/>
        </w:rPr>
      </w:pPr>
      <w:r w:rsidRPr="004161D4">
        <w:rPr>
          <w:rFonts w:ascii="Times New Roman" w:eastAsia="Calibri" w:hAnsi="Times New Roman" w:cs="Times New Roman"/>
          <w:sz w:val="24"/>
          <w:szCs w:val="24"/>
          <w:lang w:val="en-US"/>
        </w:rPr>
        <w:t xml:space="preserve">         </w:t>
      </w:r>
      <w:r w:rsidRPr="004161D4">
        <w:rPr>
          <w:rFonts w:ascii="Times New Roman" w:eastAsia="Calibri" w:hAnsi="Times New Roman" w:cs="Times New Roman"/>
          <w:lang w:val="en-US"/>
        </w:rPr>
        <w:t>Figure 1. Frequency graph of critical thinking ability Cycle 1</w:t>
      </w:r>
    </w:p>
    <w:p w:rsidR="004161D4" w:rsidRPr="004161D4" w:rsidRDefault="004161D4" w:rsidP="004161D4">
      <w:pPr>
        <w:spacing w:after="160"/>
        <w:ind w:left="1440"/>
        <w:contextualSpacing/>
        <w:jc w:val="both"/>
        <w:rPr>
          <w:rFonts w:ascii="Times New Roman" w:eastAsia="Calibri" w:hAnsi="Times New Roman" w:cs="Times New Roman"/>
          <w:sz w:val="24"/>
          <w:szCs w:val="24"/>
          <w:lang w:val="en-US"/>
        </w:rPr>
      </w:pPr>
    </w:p>
    <w:p w:rsidR="004161D4" w:rsidRPr="004161D4" w:rsidRDefault="004161D4" w:rsidP="004161D4">
      <w:pPr>
        <w:numPr>
          <w:ilvl w:val="0"/>
          <w:numId w:val="3"/>
        </w:numPr>
        <w:spacing w:after="160" w:line="259"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Implementation of Cycle II</w:t>
      </w:r>
    </w:p>
    <w:p w:rsidR="004161D4" w:rsidRPr="004161D4" w:rsidRDefault="004161D4" w:rsidP="004161D4">
      <w:pPr>
        <w:spacing w:after="160" w:line="259" w:lineRule="auto"/>
        <w:ind w:left="2160" w:firstLine="720"/>
        <w:contextualSpacing/>
        <w:rPr>
          <w:rFonts w:ascii="Times New Roman" w:hAnsi="Times New Roman" w:cs="Times New Roman"/>
          <w:b/>
          <w:sz w:val="24"/>
          <w:szCs w:val="24"/>
          <w:lang w:val="x-none" w:eastAsia="x-none"/>
        </w:rPr>
      </w:pPr>
      <w:r w:rsidRPr="004161D4">
        <w:rPr>
          <w:rFonts w:ascii="Times New Roman" w:hAnsi="Times New Roman" w:cs="Times New Roman"/>
          <w:b/>
          <w:sz w:val="24"/>
          <w:szCs w:val="24"/>
          <w:lang w:val="x-none" w:eastAsia="x-none"/>
        </w:rPr>
        <w:t>Table 2. Critical Thinking Skills</w:t>
      </w:r>
    </w:p>
    <w:tbl>
      <w:tblPr>
        <w:tblW w:w="0" w:type="auto"/>
        <w:tblInd w:w="421" w:type="dxa"/>
        <w:tblBorders>
          <w:top w:val="single" w:sz="4" w:space="0" w:color="auto"/>
          <w:bottom w:val="single" w:sz="4" w:space="0" w:color="auto"/>
          <w:insideH w:val="single" w:sz="4" w:space="0" w:color="auto"/>
        </w:tblBorders>
        <w:tblLook w:val="04A0" w:firstRow="1" w:lastRow="0" w:firstColumn="1" w:lastColumn="0" w:noHBand="0" w:noVBand="1"/>
      </w:tblPr>
      <w:tblGrid>
        <w:gridCol w:w="1115"/>
        <w:gridCol w:w="1710"/>
        <w:gridCol w:w="945"/>
        <w:gridCol w:w="979"/>
        <w:gridCol w:w="935"/>
        <w:gridCol w:w="982"/>
        <w:gridCol w:w="960"/>
        <w:gridCol w:w="979"/>
      </w:tblGrid>
      <w:tr w:rsidR="004161D4" w:rsidRPr="004161D4" w:rsidTr="005A6102">
        <w:tc>
          <w:tcPr>
            <w:tcW w:w="1123"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 xml:space="preserve">Interval </w:t>
            </w:r>
          </w:p>
        </w:tc>
        <w:tc>
          <w:tcPr>
            <w:tcW w:w="1766"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 xml:space="preserve">Category </w:t>
            </w:r>
          </w:p>
        </w:tc>
        <w:tc>
          <w:tcPr>
            <w:tcW w:w="1979" w:type="dxa"/>
            <w:gridSpan w:val="2"/>
            <w:shd w:val="clear" w:color="auto" w:fill="auto"/>
          </w:tcPr>
          <w:p w:rsidR="004161D4" w:rsidRPr="004161D4" w:rsidRDefault="004161D4" w:rsidP="0041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rPr>
            </w:pPr>
            <w:r w:rsidRPr="004161D4">
              <w:rPr>
                <w:rFonts w:ascii="Times New Roman" w:hAnsi="Times New Roman" w:cs="Courier New"/>
                <w:b/>
                <w:sz w:val="24"/>
                <w:szCs w:val="24"/>
                <w:lang w:val="en-US"/>
              </w:rPr>
              <w:t xml:space="preserve"> </w:t>
            </w:r>
            <w:r w:rsidRPr="004161D4">
              <w:rPr>
                <w:rFonts w:ascii="Times New Roman" w:hAnsi="Times New Roman" w:cs="Times New Roman"/>
                <w:b/>
                <w:sz w:val="24"/>
                <w:szCs w:val="24"/>
                <w:lang w:val="en"/>
              </w:rPr>
              <w:t>Cycle</w:t>
            </w:r>
            <w:r w:rsidRPr="004161D4">
              <w:rPr>
                <w:rFonts w:ascii="Courier New" w:hAnsi="Courier New" w:cs="Courier New"/>
                <w:sz w:val="20"/>
                <w:szCs w:val="20"/>
                <w:lang w:val="en"/>
              </w:rPr>
              <w:t xml:space="preserve"> </w:t>
            </w:r>
            <w:r w:rsidRPr="004161D4">
              <w:rPr>
                <w:rFonts w:ascii="Times New Roman" w:hAnsi="Times New Roman" w:cs="Courier New"/>
                <w:b/>
                <w:sz w:val="24"/>
                <w:szCs w:val="24"/>
                <w:lang w:val="en-US"/>
              </w:rPr>
              <w:t>1</w:t>
            </w:r>
          </w:p>
        </w:tc>
        <w:tc>
          <w:tcPr>
            <w:tcW w:w="1958" w:type="dxa"/>
            <w:gridSpan w:val="2"/>
            <w:shd w:val="clear" w:color="auto" w:fill="auto"/>
          </w:tcPr>
          <w:p w:rsidR="004161D4" w:rsidRPr="004161D4" w:rsidRDefault="004161D4" w:rsidP="0041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rPr>
            </w:pPr>
            <w:r w:rsidRPr="004161D4">
              <w:rPr>
                <w:rFonts w:ascii="Times New Roman" w:hAnsi="Times New Roman" w:cs="Times New Roman"/>
                <w:b/>
                <w:sz w:val="24"/>
                <w:szCs w:val="24"/>
                <w:lang w:val="en"/>
              </w:rPr>
              <w:t>Percent</w:t>
            </w:r>
            <w:r w:rsidRPr="004161D4">
              <w:rPr>
                <w:rFonts w:ascii="Times New Roman" w:eastAsia="Calibri" w:hAnsi="Times New Roman" w:cs="Times New Roman"/>
                <w:b/>
                <w:sz w:val="24"/>
                <w:szCs w:val="24"/>
                <w:lang w:val="en-US"/>
              </w:rPr>
              <w:t xml:space="preserve"> (%)</w:t>
            </w:r>
          </w:p>
        </w:tc>
        <w:tc>
          <w:tcPr>
            <w:tcW w:w="1995" w:type="dxa"/>
            <w:gridSpan w:val="2"/>
            <w:shd w:val="clear" w:color="auto" w:fill="auto"/>
          </w:tcPr>
          <w:p w:rsidR="004161D4" w:rsidRPr="004161D4" w:rsidRDefault="004161D4" w:rsidP="0041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en-US"/>
              </w:rPr>
            </w:pPr>
            <w:r w:rsidRPr="004161D4">
              <w:rPr>
                <w:rFonts w:ascii="Times New Roman" w:hAnsi="Times New Roman" w:cs="Times New Roman"/>
                <w:b/>
                <w:sz w:val="24"/>
                <w:szCs w:val="24"/>
                <w:lang w:val="en"/>
              </w:rPr>
              <w:t>Average</w:t>
            </w:r>
          </w:p>
        </w:tc>
      </w:tr>
      <w:tr w:rsidR="004161D4" w:rsidRPr="004161D4" w:rsidTr="005A6102">
        <w:tc>
          <w:tcPr>
            <w:tcW w:w="1123"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p>
        </w:tc>
        <w:tc>
          <w:tcPr>
            <w:tcW w:w="1766"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p>
        </w:tc>
        <w:tc>
          <w:tcPr>
            <w:tcW w:w="975"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Pre-test</w:t>
            </w:r>
          </w:p>
        </w:tc>
        <w:tc>
          <w:tcPr>
            <w:tcW w:w="1004"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Post-test</w:t>
            </w:r>
          </w:p>
        </w:tc>
        <w:tc>
          <w:tcPr>
            <w:tcW w:w="953"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Pre-test</w:t>
            </w:r>
          </w:p>
        </w:tc>
        <w:tc>
          <w:tcPr>
            <w:tcW w:w="1005"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Post-test</w:t>
            </w:r>
          </w:p>
        </w:tc>
        <w:tc>
          <w:tcPr>
            <w:tcW w:w="991"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Pre-test</w:t>
            </w:r>
          </w:p>
        </w:tc>
        <w:tc>
          <w:tcPr>
            <w:tcW w:w="1004"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4161D4">
              <w:rPr>
                <w:rFonts w:ascii="Times New Roman" w:eastAsia="Calibri" w:hAnsi="Times New Roman" w:cs="Times New Roman"/>
                <w:b/>
                <w:sz w:val="24"/>
                <w:szCs w:val="24"/>
                <w:lang w:val="en-US"/>
              </w:rPr>
              <w:t>Post-test</w:t>
            </w:r>
          </w:p>
        </w:tc>
      </w:tr>
      <w:tr w:rsidR="004161D4" w:rsidRPr="004161D4" w:rsidTr="005A6102">
        <w:tc>
          <w:tcPr>
            <w:tcW w:w="1123"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0-30</w:t>
            </w:r>
          </w:p>
        </w:tc>
        <w:tc>
          <w:tcPr>
            <w:tcW w:w="1766"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Very low</w:t>
            </w:r>
          </w:p>
        </w:tc>
        <w:tc>
          <w:tcPr>
            <w:tcW w:w="975"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0</w:t>
            </w:r>
          </w:p>
        </w:tc>
        <w:tc>
          <w:tcPr>
            <w:tcW w:w="1004"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0</w:t>
            </w:r>
          </w:p>
        </w:tc>
        <w:tc>
          <w:tcPr>
            <w:tcW w:w="953"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0</w:t>
            </w:r>
          </w:p>
        </w:tc>
        <w:tc>
          <w:tcPr>
            <w:tcW w:w="1005"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0</w:t>
            </w:r>
          </w:p>
        </w:tc>
        <w:tc>
          <w:tcPr>
            <w:tcW w:w="991"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75</w:t>
            </w:r>
          </w:p>
        </w:tc>
        <w:tc>
          <w:tcPr>
            <w:tcW w:w="1004" w:type="dxa"/>
            <w:vMerge w:val="restart"/>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85</w:t>
            </w:r>
          </w:p>
        </w:tc>
      </w:tr>
      <w:tr w:rsidR="004161D4" w:rsidRPr="004161D4" w:rsidTr="005A6102">
        <w:tc>
          <w:tcPr>
            <w:tcW w:w="1123"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31-50</w:t>
            </w:r>
          </w:p>
        </w:tc>
        <w:tc>
          <w:tcPr>
            <w:tcW w:w="1766"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Low</w:t>
            </w:r>
          </w:p>
        </w:tc>
        <w:tc>
          <w:tcPr>
            <w:tcW w:w="975"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5</w:t>
            </w:r>
          </w:p>
        </w:tc>
        <w:tc>
          <w:tcPr>
            <w:tcW w:w="1004"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2</w:t>
            </w:r>
          </w:p>
        </w:tc>
        <w:tc>
          <w:tcPr>
            <w:tcW w:w="953"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16,1</w:t>
            </w:r>
          </w:p>
        </w:tc>
        <w:tc>
          <w:tcPr>
            <w:tcW w:w="1005"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6,44</w:t>
            </w:r>
          </w:p>
        </w:tc>
        <w:tc>
          <w:tcPr>
            <w:tcW w:w="991"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04"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r w:rsidR="004161D4" w:rsidRPr="004161D4" w:rsidTr="005A6102">
        <w:tc>
          <w:tcPr>
            <w:tcW w:w="1123"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51-70</w:t>
            </w:r>
          </w:p>
        </w:tc>
        <w:tc>
          <w:tcPr>
            <w:tcW w:w="1766"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Currently</w:t>
            </w:r>
          </w:p>
        </w:tc>
        <w:tc>
          <w:tcPr>
            <w:tcW w:w="975"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6</w:t>
            </w:r>
          </w:p>
        </w:tc>
        <w:tc>
          <w:tcPr>
            <w:tcW w:w="1004"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10</w:t>
            </w:r>
          </w:p>
        </w:tc>
        <w:tc>
          <w:tcPr>
            <w:tcW w:w="953"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19,32</w:t>
            </w:r>
          </w:p>
        </w:tc>
        <w:tc>
          <w:tcPr>
            <w:tcW w:w="1005"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32,2</w:t>
            </w:r>
          </w:p>
        </w:tc>
        <w:tc>
          <w:tcPr>
            <w:tcW w:w="991"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04"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r w:rsidR="004161D4" w:rsidRPr="004161D4" w:rsidTr="005A6102">
        <w:tc>
          <w:tcPr>
            <w:tcW w:w="1123"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71-90</w:t>
            </w:r>
          </w:p>
        </w:tc>
        <w:tc>
          <w:tcPr>
            <w:tcW w:w="1766"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Tall</w:t>
            </w:r>
          </w:p>
        </w:tc>
        <w:tc>
          <w:tcPr>
            <w:tcW w:w="975"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18</w:t>
            </w:r>
          </w:p>
        </w:tc>
        <w:tc>
          <w:tcPr>
            <w:tcW w:w="1004"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17</w:t>
            </w:r>
          </w:p>
        </w:tc>
        <w:tc>
          <w:tcPr>
            <w:tcW w:w="953"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57,96</w:t>
            </w:r>
          </w:p>
        </w:tc>
        <w:tc>
          <w:tcPr>
            <w:tcW w:w="1005"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54,74</w:t>
            </w:r>
          </w:p>
        </w:tc>
        <w:tc>
          <w:tcPr>
            <w:tcW w:w="991"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04"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r w:rsidR="004161D4" w:rsidRPr="004161D4" w:rsidTr="005A6102">
        <w:tc>
          <w:tcPr>
            <w:tcW w:w="1123" w:type="dxa"/>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lastRenderedPageBreak/>
              <w:t>91-100</w:t>
            </w:r>
          </w:p>
        </w:tc>
        <w:tc>
          <w:tcPr>
            <w:tcW w:w="1766" w:type="dxa"/>
            <w:shd w:val="clear" w:color="auto" w:fill="auto"/>
          </w:tcPr>
          <w:p w:rsidR="004161D4" w:rsidRPr="004161D4" w:rsidRDefault="004161D4" w:rsidP="004161D4">
            <w:pPr>
              <w:spacing w:after="0" w:line="240" w:lineRule="auto"/>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Very high</w:t>
            </w:r>
          </w:p>
        </w:tc>
        <w:tc>
          <w:tcPr>
            <w:tcW w:w="975"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1</w:t>
            </w:r>
          </w:p>
        </w:tc>
        <w:tc>
          <w:tcPr>
            <w:tcW w:w="1004" w:type="dxa"/>
            <w:shd w:val="clear" w:color="auto" w:fill="auto"/>
          </w:tcPr>
          <w:p w:rsidR="004161D4" w:rsidRPr="004161D4" w:rsidRDefault="004161D4" w:rsidP="004161D4">
            <w:pPr>
              <w:autoSpaceDE w:val="0"/>
              <w:autoSpaceDN w:val="0"/>
              <w:adjustRightInd w:val="0"/>
              <w:spacing w:after="160" w:line="240"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1</w:t>
            </w:r>
          </w:p>
        </w:tc>
        <w:tc>
          <w:tcPr>
            <w:tcW w:w="953"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3,22</w:t>
            </w:r>
          </w:p>
        </w:tc>
        <w:tc>
          <w:tcPr>
            <w:tcW w:w="1005" w:type="dxa"/>
            <w:shd w:val="clear" w:color="auto" w:fill="auto"/>
          </w:tcPr>
          <w:p w:rsidR="004161D4" w:rsidRPr="004161D4" w:rsidRDefault="004161D4" w:rsidP="004161D4">
            <w:pPr>
              <w:autoSpaceDE w:val="0"/>
              <w:autoSpaceDN w:val="0"/>
              <w:adjustRightInd w:val="0"/>
              <w:spacing w:after="160" w:line="259" w:lineRule="auto"/>
              <w:contextualSpacing/>
              <w:jc w:val="both"/>
              <w:rPr>
                <w:rFonts w:ascii="Times New Roman" w:eastAsia="Calibri" w:hAnsi="Times New Roman" w:cs="Times New Roman"/>
                <w:sz w:val="24"/>
                <w:szCs w:val="24"/>
                <w:lang w:val="x-none" w:eastAsia="x-none"/>
              </w:rPr>
            </w:pPr>
            <w:r w:rsidRPr="004161D4">
              <w:rPr>
                <w:rFonts w:ascii="Times New Roman" w:eastAsia="Calibri" w:hAnsi="Times New Roman" w:cs="Times New Roman"/>
                <w:sz w:val="24"/>
                <w:szCs w:val="24"/>
                <w:lang w:val="x-none" w:eastAsia="x-none"/>
              </w:rPr>
              <w:t>6,44</w:t>
            </w:r>
          </w:p>
        </w:tc>
        <w:tc>
          <w:tcPr>
            <w:tcW w:w="991"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c>
          <w:tcPr>
            <w:tcW w:w="1004" w:type="dxa"/>
            <w:vMerge/>
            <w:shd w:val="clear" w:color="auto" w:fill="auto"/>
          </w:tcPr>
          <w:p w:rsidR="004161D4" w:rsidRPr="004161D4" w:rsidRDefault="004161D4" w:rsidP="004161D4">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tc>
      </w:tr>
    </w:tbl>
    <w:p w:rsidR="004161D4" w:rsidRPr="004161D4" w:rsidRDefault="004161D4" w:rsidP="004161D4">
      <w:pPr>
        <w:spacing w:after="160" w:line="259" w:lineRule="auto"/>
        <w:contextualSpacing/>
        <w:rPr>
          <w:rFonts w:ascii="Times New Roman" w:hAnsi="Times New Roman" w:cs="Times New Roman"/>
          <w:b/>
          <w:sz w:val="24"/>
          <w:szCs w:val="24"/>
          <w:lang w:val="x-none" w:eastAsia="x-none"/>
        </w:rPr>
      </w:pP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Based on the research table above, it can seem that the critical thinking ability of students in thematic learning is that there is one student who has very low thinking skills with a percentage value of 0%. In addition, some students achieve moderate thinking skills with a process value of 32.2%. The average pretest score shows a result of 75, which indicates that students can use students critical thinking skills in thematic learning, judging by the average value of the class that has exceeded the KKM 70 from the indicators determined by the school. While the average post-test score of 85 means that all students have completed using the problem-based learning model with an increase in students' critical thinking skills in thematic learning. The average result of the percentage increase in student scores obtained is 60%. So it can be concluded that the application of the problem-based learning model in cycle I mostly have medium and high categories. Statistics of student ability results can be seen in the following diagram:</w:t>
      </w: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r w:rsidRPr="004161D4">
        <w:rPr>
          <w:rFonts w:eastAsia="Calibri" w:cs="Calibri"/>
          <w:noProof/>
          <w:lang w:val="en-US"/>
        </w:rPr>
        <w:drawing>
          <wp:anchor distT="6096" distB="6096" distL="120396" distR="122301" simplePos="0" relativeHeight="251664384" behindDoc="0" locked="0" layoutInCell="1" allowOverlap="1">
            <wp:simplePos x="0" y="0"/>
            <wp:positionH relativeFrom="column">
              <wp:posOffset>1797431</wp:posOffset>
            </wp:positionH>
            <wp:positionV relativeFrom="paragraph">
              <wp:posOffset>113411</wp:posOffset>
            </wp:positionV>
            <wp:extent cx="2557780" cy="1218565"/>
            <wp:effectExtent l="0" t="0" r="13970" b="635"/>
            <wp:wrapSquare wrapText="bothSides"/>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720"/>
        <w:contextualSpacing/>
        <w:jc w:val="both"/>
        <w:rPr>
          <w:rFonts w:ascii="Times New Roman" w:eastAsia="Calibri" w:hAnsi="Times New Roman" w:cs="Times New Roman"/>
          <w:sz w:val="24"/>
          <w:szCs w:val="24"/>
          <w:lang w:val="en-US"/>
        </w:rPr>
      </w:pPr>
    </w:p>
    <w:p w:rsidR="004161D4" w:rsidRPr="004161D4" w:rsidRDefault="004161D4" w:rsidP="004161D4">
      <w:pPr>
        <w:spacing w:after="160"/>
        <w:ind w:left="1440" w:firstLine="720"/>
        <w:contextualSpacing/>
        <w:jc w:val="both"/>
        <w:rPr>
          <w:rFonts w:ascii="Times New Roman" w:eastAsia="Calibri" w:hAnsi="Times New Roman" w:cs="Times New Roman"/>
          <w:lang w:val="en-US"/>
        </w:rPr>
      </w:pPr>
      <w:r w:rsidRPr="004161D4">
        <w:rPr>
          <w:rFonts w:ascii="Times New Roman" w:eastAsia="Calibri" w:hAnsi="Times New Roman" w:cs="Times New Roman"/>
          <w:lang w:val="en-US"/>
        </w:rPr>
        <w:t>Figure 2. Frequency graph of critical thinking ability Cycle 2</w:t>
      </w:r>
    </w:p>
    <w:p w:rsidR="004161D4" w:rsidRPr="004161D4" w:rsidRDefault="004161D4" w:rsidP="004161D4">
      <w:pPr>
        <w:spacing w:after="160"/>
        <w:contextualSpacing/>
        <w:jc w:val="both"/>
        <w:rPr>
          <w:rFonts w:ascii="Times New Roman" w:eastAsia="Calibri" w:hAnsi="Times New Roman" w:cs="Times New Roman"/>
          <w:sz w:val="24"/>
          <w:szCs w:val="24"/>
          <w:lang w:val="en-US"/>
        </w:rPr>
      </w:pPr>
    </w:p>
    <w:p w:rsidR="004161D4" w:rsidRPr="004161D4" w:rsidRDefault="004161D4" w:rsidP="004161D4">
      <w:pPr>
        <w:spacing w:after="160"/>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ab/>
        <w:t>In cycle 1, researchers have applied the Problem Based Learning learning model; even though the implementation was not perfect, students with critical thinking skills increased to 30%. In cycle 2, the researchers and teachers improved all learning activities in the previous cycle. In cycle 2, the researchers asked the teacher to implement the problem-based learning model according to the revised learning steps. This affects increasing students' critical thinking skills, which is 61%. The increasing critical thinking skills of students in thematic learning. This can be seen in the results of the first cycle getting an average score of 30%, and in the second cycle, there is an increase by getting a score of 60%. In cycle 1, researchers have applied the Problem Based Learning learning model. Even though the implementation is not perfect, students with critical thinking skills increased to 30%. In cycle 2, the researchers and teachers improved all learning activities in the previous cycle. In cycle 2, the researchers asked the teacher to implement the problem-based learning model according to the revised learning steps. This affects increasing students' critical thinking skills, which are 61%. The increasing critical thinking skills of students in thematic learning. This can be seen in the results of the first cycle getting an average score of 30%, and in the second cycle, there is an increase by getting a score of 60%.</w:t>
      </w:r>
    </w:p>
    <w:p w:rsidR="004161D4" w:rsidRPr="004161D4" w:rsidRDefault="004161D4" w:rsidP="004161D4">
      <w:pPr>
        <w:spacing w:after="160"/>
        <w:ind w:firstLine="720"/>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lastRenderedPageBreak/>
        <w:t>Based on the description above, applying the Problem Based Learning learning model in-class students of SDN 1 Pilangbango can improve students' critical thinking skills in thematic learning. The results of this study strengthen the previous research conducted by Ahmad Syaifudin and Septina Sulistyaningrum. (2015). The study results showed an increase in expressing opinions after the PBL learning model was applied. The ability to argue as a supporter of achievement increases. This increase is marked by student involvement in learning through opinion activities. Anxiety that affects a person's opinion can be eroded by increasing understanding of theories or concepts in the subject matter.</w:t>
      </w:r>
    </w:p>
    <w:p w:rsidR="004161D4" w:rsidRPr="004161D4" w:rsidRDefault="004161D4" w:rsidP="004161D4">
      <w:pPr>
        <w:spacing w:after="160"/>
        <w:ind w:firstLine="720"/>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The PBL learning model plays a role in developing thinking and problem-solving skills. The success of applying the PBL learning model in developing students' higher-order thinking skills is caused by several things. First, in applying the PBL learning model, the teacher uses real problems for students. The teacher asks students to find a solution that fits the existing problem through this problem. To overcome these problems, students will acquire higher-order thinking skills. In applying the PBL learning model, the teacher provides opportunities for students to be active and use their experience to solve the problems they face so that students can develop higher-order thinking skills.</w:t>
      </w:r>
    </w:p>
    <w:p w:rsidR="004161D4" w:rsidRPr="004161D4" w:rsidRDefault="004161D4" w:rsidP="004161D4">
      <w:pPr>
        <w:spacing w:after="160"/>
        <w:ind w:firstLine="720"/>
        <w:contextualSpacing/>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To realize learning-oriented critical thinking skills, education must be optimized through challenging learning for students so that the process of assimilation and accommodation can produce intellectual growth (Azis., 2016). In the learning process, there is a learning experience that students can well receive to improve learning outcomes and critical thinking skills in learning. It will be more structured to shape cognitive learning through psychomotor or affective aspects (Selatan, 2018). Based on the study results, it can conclude that the application of the problem-based learning model can improve students' critical thinking skills in thematic learning; by looking at the results of cycles 1 and 2, there is an increase in the process. Active teacher activities in the classroom can make the learning atmosphere more active and attract students' attention to learning activities.</w:t>
      </w:r>
    </w:p>
    <w:p w:rsidR="004161D4" w:rsidRPr="004161D4" w:rsidRDefault="004161D4" w:rsidP="004161D4">
      <w:pPr>
        <w:spacing w:after="160"/>
        <w:contextualSpacing/>
        <w:jc w:val="both"/>
        <w:rPr>
          <w:rFonts w:ascii="Times New Roman" w:eastAsia="Calibri" w:hAnsi="Times New Roman" w:cs="Times New Roman"/>
          <w:sz w:val="24"/>
          <w:szCs w:val="24"/>
          <w:lang w:val="en-US"/>
        </w:rPr>
      </w:pPr>
    </w:p>
    <w:p w:rsidR="004161D4" w:rsidRPr="004161D4" w:rsidRDefault="0019361C" w:rsidP="004161D4">
      <w:pPr>
        <w:shd w:val="clear" w:color="auto" w:fill="FFFFFF"/>
        <w:spacing w:after="0" w:line="240" w:lineRule="auto"/>
        <w:jc w:val="both"/>
        <w:rPr>
          <w:rFonts w:ascii="Times New Roman" w:hAnsi="Times New Roman" w:cs="Times New Roman"/>
          <w:color w:val="000000"/>
          <w:sz w:val="24"/>
          <w:szCs w:val="24"/>
          <w:lang w:val="en-US"/>
        </w:rPr>
      </w:pPr>
      <w:r w:rsidRPr="004161D4">
        <w:rPr>
          <w:rFonts w:ascii="Times New Roman" w:eastAsia="Calibri" w:hAnsi="Times New Roman" w:cs="Times New Roman"/>
          <w:b/>
          <w:color w:val="000000"/>
          <w:sz w:val="24"/>
          <w:szCs w:val="24"/>
          <w:lang w:val="en-US"/>
        </w:rPr>
        <w:t xml:space="preserve">CONCLUSION </w:t>
      </w:r>
    </w:p>
    <w:p w:rsidR="004161D4" w:rsidRDefault="004161D4" w:rsidP="004161D4">
      <w:pPr>
        <w:spacing w:after="160"/>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Based on the research and discussion above, it can conclude that the application of the problem-based learning model can improve critical thinking skills in thematic learning at SDN 1 Pilangbango Madiun. It can be seen in the first cycle results with a value in the first cycle of 30%. Students who pass the Minimum Completeness Criteria and the second cycle 60%. Judging from Cycle I and Cycle II, which continued to increase and learning in the classroom experienced changes for the better. This can be proven when learning activities become more interesting and fun so that learning becomes more meaningful and trains student activity. Students' critical thinking skills that occur during learning are very visible. In carrying out the learning process, the teacher can apply the problem-based learning model to improve students' critical thinking skills. It is hoped that the problem-based learning model can be a means for active practice in the teaching and learning process.</w:t>
      </w:r>
    </w:p>
    <w:p w:rsidR="0019361C" w:rsidRPr="004161D4" w:rsidRDefault="0019361C" w:rsidP="004161D4">
      <w:pPr>
        <w:spacing w:after="160"/>
        <w:jc w:val="both"/>
        <w:rPr>
          <w:rFonts w:ascii="Times New Roman" w:eastAsia="Calibri" w:hAnsi="Times New Roman" w:cs="Times New Roman"/>
          <w:sz w:val="24"/>
          <w:szCs w:val="24"/>
          <w:lang w:val="en-US"/>
        </w:rPr>
      </w:pPr>
      <w:bookmarkStart w:id="0" w:name="_GoBack"/>
      <w:bookmarkEnd w:id="0"/>
    </w:p>
    <w:p w:rsidR="004161D4" w:rsidRPr="004161D4" w:rsidRDefault="0019361C" w:rsidP="004161D4">
      <w:pPr>
        <w:spacing w:after="0"/>
        <w:ind w:left="709" w:right="-5" w:hanging="709"/>
        <w:jc w:val="both"/>
        <w:rPr>
          <w:rFonts w:ascii="Times New Roman" w:eastAsia="Calibri" w:hAnsi="Times New Roman" w:cs="Times New Roman"/>
          <w:sz w:val="24"/>
          <w:szCs w:val="24"/>
          <w:lang w:val="en-US"/>
        </w:rPr>
      </w:pPr>
      <w:r w:rsidRPr="004161D4">
        <w:rPr>
          <w:rFonts w:ascii="Times New Roman" w:eastAsia="Calibri" w:hAnsi="Times New Roman" w:cs="Times New Roman"/>
          <w:b/>
          <w:color w:val="000000"/>
          <w:sz w:val="24"/>
          <w:szCs w:val="24"/>
          <w:lang w:val="en-US"/>
        </w:rPr>
        <w:lastRenderedPageBreak/>
        <w:t xml:space="preserve">REFERENCES </w:t>
      </w:r>
    </w:p>
    <w:p w:rsidR="004161D4" w:rsidRPr="004161D4" w:rsidRDefault="004161D4" w:rsidP="004161D4">
      <w:pPr>
        <w:autoSpaceDE w:val="0"/>
        <w:autoSpaceDN w:val="0"/>
        <w:adjustRightInd w:val="0"/>
        <w:spacing w:after="0"/>
        <w:ind w:left="709" w:hanging="709"/>
        <w:jc w:val="both"/>
        <w:rPr>
          <w:rFonts w:ascii="Times New Roman" w:eastAsia="Calibri" w:hAnsi="Times New Roman" w:cs="Times New Roman"/>
          <w:b/>
          <w:sz w:val="24"/>
          <w:szCs w:val="24"/>
          <w:lang w:val="en-US"/>
        </w:rPr>
      </w:pPr>
      <w:r w:rsidRPr="004161D4">
        <w:rPr>
          <w:rFonts w:ascii="Times New Roman" w:eastAsia="Calibri" w:hAnsi="Times New Roman" w:cs="Times New Roman"/>
          <w:sz w:val="24"/>
          <w:szCs w:val="24"/>
          <w:lang w:val="en-US"/>
        </w:rPr>
        <w:t>Amir, M.T. (2010). Innovation of Education through Problem Based Learning: How Educators Empower Learners in the Era of Knowledge. Jakarta: Kencana.</w:t>
      </w:r>
    </w:p>
    <w:p w:rsidR="004161D4" w:rsidRPr="004161D4" w:rsidRDefault="004161D4" w:rsidP="004161D4">
      <w:pPr>
        <w:widowControl w:val="0"/>
        <w:autoSpaceDE w:val="0"/>
        <w:autoSpaceDN w:val="0"/>
        <w:adjustRightInd w:val="0"/>
        <w:spacing w:after="0"/>
        <w:ind w:left="709" w:hanging="763"/>
        <w:jc w:val="both"/>
        <w:rPr>
          <w:rFonts w:ascii="Times New Roman" w:eastAsia="Calibri" w:hAnsi="Times New Roman" w:cs="Times New Roman"/>
          <w:noProof/>
          <w:sz w:val="24"/>
          <w:szCs w:val="24"/>
          <w:lang w:val="en-US"/>
        </w:rPr>
      </w:pPr>
      <w:r w:rsidRPr="004161D4">
        <w:rPr>
          <w:rFonts w:ascii="Times New Roman" w:eastAsia="Calibri" w:hAnsi="Times New Roman" w:cs="Times New Roman"/>
          <w:noProof/>
          <w:sz w:val="24"/>
          <w:szCs w:val="24"/>
          <w:lang w:val="en-US"/>
        </w:rPr>
        <w:t>Azis, A., Rusli, M. A., &amp; Yusuf, A. M. (2016). Critical Thinking Skill Of Student Through Top Down Approach In Physics Learning, (October), 3–4.</w:t>
      </w:r>
    </w:p>
    <w:p w:rsidR="004161D4" w:rsidRPr="004161D4" w:rsidRDefault="004161D4" w:rsidP="004161D4">
      <w:pPr>
        <w:widowControl w:val="0"/>
        <w:autoSpaceDE w:val="0"/>
        <w:autoSpaceDN w:val="0"/>
        <w:adjustRightInd w:val="0"/>
        <w:spacing w:after="0"/>
        <w:ind w:left="709" w:hanging="709"/>
        <w:jc w:val="both"/>
        <w:rPr>
          <w:rFonts w:ascii="Times New Roman" w:eastAsia="Calibri" w:hAnsi="Times New Roman" w:cs="Times New Roman"/>
          <w:noProof/>
          <w:sz w:val="24"/>
          <w:szCs w:val="24"/>
          <w:lang w:val="en-US"/>
        </w:rPr>
      </w:pPr>
      <w:r w:rsidRPr="004161D4">
        <w:rPr>
          <w:rFonts w:ascii="Times New Roman" w:eastAsia="Calibri" w:hAnsi="Times New Roman" w:cs="Times New Roman"/>
          <w:noProof/>
          <w:sz w:val="24"/>
          <w:szCs w:val="24"/>
          <w:lang w:val="en-US"/>
        </w:rPr>
        <w:t xml:space="preserve">Chadziqoh, N. (2018). The Implementation Of Problem Based Learning Model In Developing Students’ Higher Order Thinking In Social Studies Learning (A Descriptive Study On Teacher In Smp Negeri 40 Bandung). </w:t>
      </w:r>
      <w:r w:rsidRPr="004161D4">
        <w:rPr>
          <w:rFonts w:ascii="Times New Roman" w:eastAsia="Calibri" w:hAnsi="Times New Roman" w:cs="Times New Roman"/>
          <w:i/>
          <w:iCs/>
          <w:noProof/>
          <w:sz w:val="24"/>
          <w:szCs w:val="24"/>
          <w:lang w:val="en-US"/>
        </w:rPr>
        <w:t>International Journal Pedagogy Of Social Studies</w:t>
      </w:r>
      <w:r w:rsidRPr="004161D4">
        <w:rPr>
          <w:rFonts w:ascii="Times New Roman" w:eastAsia="Calibri" w:hAnsi="Times New Roman" w:cs="Times New Roman"/>
          <w:noProof/>
          <w:sz w:val="24"/>
          <w:szCs w:val="24"/>
          <w:lang w:val="en-US"/>
        </w:rPr>
        <w:t xml:space="preserve">, </w:t>
      </w:r>
      <w:r w:rsidRPr="004161D4">
        <w:rPr>
          <w:rFonts w:ascii="Times New Roman" w:eastAsia="Calibri" w:hAnsi="Times New Roman" w:cs="Times New Roman"/>
          <w:i/>
          <w:iCs/>
          <w:noProof/>
          <w:sz w:val="24"/>
          <w:szCs w:val="24"/>
          <w:lang w:val="en-US"/>
        </w:rPr>
        <w:t>2</w:t>
      </w:r>
      <w:r w:rsidRPr="004161D4">
        <w:rPr>
          <w:rFonts w:ascii="Times New Roman" w:eastAsia="Calibri" w:hAnsi="Times New Roman" w:cs="Times New Roman"/>
          <w:noProof/>
          <w:sz w:val="24"/>
          <w:szCs w:val="24"/>
          <w:lang w:val="en-US"/>
        </w:rPr>
        <w:t xml:space="preserve">(2), 72. </w:t>
      </w:r>
      <w:hyperlink r:id="rId16" w:history="1">
        <w:r w:rsidRPr="004161D4">
          <w:rPr>
            <w:rFonts w:ascii="Times New Roman" w:eastAsia="Calibri" w:hAnsi="Times New Roman" w:cs="Times New Roman"/>
            <w:noProof/>
            <w:color w:val="0563C1"/>
            <w:sz w:val="24"/>
            <w:szCs w:val="24"/>
            <w:u w:val="single"/>
            <w:lang w:val="en-US"/>
          </w:rPr>
          <w:t>Https://Doi.Org/10.17509/Ijposs.V2i2.10170</w:t>
        </w:r>
      </w:hyperlink>
      <w:r w:rsidRPr="004161D4">
        <w:rPr>
          <w:rFonts w:ascii="Times New Roman" w:eastAsia="Calibri" w:hAnsi="Times New Roman" w:cs="Times New Roman"/>
          <w:noProof/>
          <w:sz w:val="24"/>
          <w:szCs w:val="24"/>
          <w:lang w:val="en-US"/>
        </w:rPr>
        <w:t xml:space="preserve">. </w:t>
      </w:r>
    </w:p>
    <w:p w:rsidR="004161D4" w:rsidRPr="004161D4" w:rsidRDefault="004161D4" w:rsidP="004161D4">
      <w:pPr>
        <w:autoSpaceDE w:val="0"/>
        <w:autoSpaceDN w:val="0"/>
        <w:adjustRightInd w:val="0"/>
        <w:spacing w:after="0"/>
        <w:ind w:left="993" w:hanging="993"/>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 xml:space="preserve">F. E. Wulandari &amp; N. Shofiyah 2018 Problem-based learning: Effects on student’s scientific reasoning skills in science J. Phys. Conf. Ser.1006. </w:t>
      </w:r>
      <w:hyperlink r:id="rId17" w:history="1">
        <w:r w:rsidRPr="004161D4">
          <w:rPr>
            <w:rFonts w:ascii="Times New Roman" w:eastAsia="Calibri" w:hAnsi="Times New Roman" w:cs="Times New Roman"/>
            <w:color w:val="0563C1"/>
            <w:sz w:val="24"/>
            <w:szCs w:val="24"/>
            <w:u w:val="single"/>
            <w:lang w:val="en-US"/>
          </w:rPr>
          <w:t>https://iopscience.iop.org/article/10.1088/1742-6596/1155/1/012065/pdf</w:t>
        </w:r>
      </w:hyperlink>
      <w:r w:rsidRPr="004161D4">
        <w:rPr>
          <w:rFonts w:ascii="Times New Roman" w:eastAsia="Calibri" w:hAnsi="Times New Roman" w:cs="Times New Roman"/>
          <w:sz w:val="24"/>
          <w:szCs w:val="24"/>
          <w:lang w:val="en-US"/>
        </w:rPr>
        <w:t xml:space="preserve">. </w:t>
      </w:r>
    </w:p>
    <w:p w:rsidR="004161D4" w:rsidRPr="004161D4" w:rsidRDefault="004161D4" w:rsidP="004161D4">
      <w:pPr>
        <w:spacing w:after="0"/>
        <w:ind w:left="1134" w:hanging="1134"/>
        <w:jc w:val="both"/>
        <w:rPr>
          <w:rFonts w:ascii="Times New Roman" w:eastAsia="Calibri" w:hAnsi="Times New Roman" w:cs="Times New Roman"/>
          <w:sz w:val="24"/>
          <w:szCs w:val="24"/>
          <w:lang w:val="en-US"/>
        </w:rPr>
      </w:pPr>
      <w:r w:rsidRPr="004161D4">
        <w:rPr>
          <w:rFonts w:ascii="Times New Roman" w:hAnsi="Times New Roman" w:cs="Times New Roman"/>
          <w:iCs/>
          <w:sz w:val="24"/>
          <w:szCs w:val="24"/>
          <w:lang w:val="en-US"/>
        </w:rPr>
        <w:t xml:space="preserve">Hmelo-Silver, C.E. (2004). Problem-Based Learning: What and How Do Students Learn? Educational Psychology Review, 16, 235-266. </w:t>
      </w:r>
      <w:r w:rsidRPr="004161D4">
        <w:rPr>
          <w:rFonts w:ascii="Times New Roman" w:eastAsia="Calibri" w:hAnsi="Times New Roman" w:cs="Times New Roman"/>
          <w:sz w:val="24"/>
          <w:szCs w:val="24"/>
          <w:lang w:val="en-US"/>
        </w:rPr>
        <w:t xml:space="preserve">DOI: </w:t>
      </w:r>
      <w:hyperlink r:id="rId18" w:tgtFrame="_blank" w:history="1">
        <w:r w:rsidRPr="004161D4">
          <w:rPr>
            <w:rFonts w:ascii="Times New Roman" w:eastAsia="Calibri" w:hAnsi="Times New Roman" w:cs="Times New Roman"/>
            <w:color w:val="0563C1"/>
            <w:sz w:val="24"/>
            <w:szCs w:val="24"/>
            <w:u w:val="single"/>
            <w:lang w:val="en-US"/>
          </w:rPr>
          <w:t>10.1023/B:EDPR.0000034022.16470.f3</w:t>
        </w:r>
      </w:hyperlink>
      <w:r w:rsidRPr="004161D4">
        <w:rPr>
          <w:rFonts w:ascii="Times New Roman" w:eastAsia="Calibri" w:hAnsi="Times New Roman" w:cs="Times New Roman"/>
          <w:sz w:val="24"/>
          <w:szCs w:val="24"/>
          <w:lang w:val="en-US"/>
        </w:rPr>
        <w:t>.</w:t>
      </w:r>
    </w:p>
    <w:p w:rsidR="004161D4" w:rsidRPr="004161D4" w:rsidRDefault="004161D4" w:rsidP="004161D4">
      <w:pPr>
        <w:autoSpaceDE w:val="0"/>
        <w:autoSpaceDN w:val="0"/>
        <w:adjustRightInd w:val="0"/>
        <w:spacing w:after="0"/>
        <w:ind w:left="1134" w:hanging="1134"/>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 xml:space="preserve">Kokotsaki, D., Menzies, V., &amp; Wiggins, A. (2016). Project-based learning: A review of the literature. Improving Schools, 19(3), 267–277. </w:t>
      </w:r>
      <w:hyperlink r:id="rId19" w:history="1">
        <w:r w:rsidRPr="004161D4">
          <w:rPr>
            <w:rFonts w:ascii="Times New Roman" w:eastAsia="Calibri" w:hAnsi="Times New Roman" w:cs="Times New Roman"/>
            <w:color w:val="0563C1"/>
            <w:sz w:val="24"/>
            <w:szCs w:val="24"/>
            <w:u w:val="single"/>
            <w:lang w:val="en-US"/>
          </w:rPr>
          <w:t>https://doi.org/10.1177/1365480216659733</w:t>
        </w:r>
      </w:hyperlink>
      <w:r w:rsidRPr="004161D4">
        <w:rPr>
          <w:rFonts w:ascii="Times New Roman" w:eastAsia="Calibri" w:hAnsi="Times New Roman" w:cs="Times New Roman"/>
          <w:sz w:val="24"/>
          <w:szCs w:val="24"/>
          <w:lang w:val="en-US"/>
        </w:rPr>
        <w:t>.</w:t>
      </w:r>
    </w:p>
    <w:p w:rsidR="004161D4" w:rsidRPr="004161D4" w:rsidRDefault="004161D4" w:rsidP="004161D4">
      <w:pPr>
        <w:autoSpaceDE w:val="0"/>
        <w:autoSpaceDN w:val="0"/>
        <w:adjustRightInd w:val="0"/>
        <w:spacing w:after="0"/>
        <w:ind w:left="1134" w:hanging="1134"/>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 xml:space="preserve">Mohamed B, Buheji A, Characteristics of ‘Problem-Based Learning’ in Post-COVID-19 Workplace. 2020. </w:t>
      </w:r>
      <w:r w:rsidRPr="004161D4">
        <w:rPr>
          <w:rFonts w:ascii="Times New Roman" w:eastAsia="Calibri" w:hAnsi="Times New Roman" w:cs="Times New Roman"/>
          <w:i/>
          <w:iCs/>
          <w:sz w:val="24"/>
          <w:szCs w:val="24"/>
          <w:lang w:val="en-US"/>
        </w:rPr>
        <w:t>Human Resource Management Research</w:t>
      </w:r>
      <w:r w:rsidRPr="004161D4">
        <w:rPr>
          <w:rFonts w:ascii="Times New Roman" w:eastAsia="Calibri" w:hAnsi="Times New Roman" w:cs="Times New Roman"/>
          <w:sz w:val="24"/>
          <w:szCs w:val="24"/>
          <w:lang w:val="en-US"/>
        </w:rPr>
        <w:t>, Vol. 10 No. 2, 2020, pp. 33-39. doi: 10.5923/j.hrmr.20201002.02.</w:t>
      </w:r>
    </w:p>
    <w:p w:rsidR="004161D4" w:rsidRPr="004161D4" w:rsidRDefault="004161D4" w:rsidP="004161D4">
      <w:pPr>
        <w:autoSpaceDE w:val="0"/>
        <w:autoSpaceDN w:val="0"/>
        <w:adjustRightInd w:val="0"/>
        <w:spacing w:after="0"/>
        <w:ind w:left="1134" w:hanging="1134"/>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 xml:space="preserve">Prince, M. (2004), Does Active Learning Work? A Review of the Research. Journal of Engineering Education, 93: 223-231. </w:t>
      </w:r>
      <w:hyperlink r:id="rId20" w:history="1">
        <w:r w:rsidRPr="004161D4">
          <w:rPr>
            <w:rFonts w:ascii="Times New Roman" w:eastAsia="Calibri" w:hAnsi="Times New Roman" w:cs="Times New Roman"/>
            <w:color w:val="0563C1"/>
            <w:sz w:val="24"/>
            <w:szCs w:val="24"/>
            <w:u w:val="single"/>
            <w:lang w:val="en-US"/>
          </w:rPr>
          <w:t>https://doi.org/10.1002/j.2168-9830.2004.tb00809.x</w:t>
        </w:r>
      </w:hyperlink>
      <w:r w:rsidRPr="004161D4">
        <w:rPr>
          <w:rFonts w:ascii="Times New Roman" w:eastAsia="Calibri" w:hAnsi="Times New Roman" w:cs="Times New Roman"/>
          <w:sz w:val="24"/>
          <w:szCs w:val="24"/>
          <w:lang w:val="en-US"/>
        </w:rPr>
        <w:t>.</w:t>
      </w:r>
    </w:p>
    <w:p w:rsidR="004161D4" w:rsidRPr="004161D4" w:rsidRDefault="004161D4" w:rsidP="004161D4">
      <w:pPr>
        <w:spacing w:after="0"/>
        <w:ind w:left="1134" w:hanging="1134"/>
        <w:jc w:val="both"/>
        <w:rPr>
          <w:rFonts w:ascii="Times New Roman" w:hAnsi="Times New Roman" w:cs="Times New Roman"/>
          <w:sz w:val="24"/>
          <w:szCs w:val="24"/>
          <w:lang w:val="en-US"/>
        </w:rPr>
      </w:pPr>
      <w:r w:rsidRPr="004161D4">
        <w:rPr>
          <w:rFonts w:ascii="Times New Roman" w:hAnsi="Times New Roman" w:cs="Times New Roman"/>
          <w:iCs/>
          <w:sz w:val="24"/>
          <w:szCs w:val="24"/>
          <w:lang w:val="en-US"/>
        </w:rPr>
        <w:t xml:space="preserve">Taşoğlu, A.K., &amp; Bakaç, M. (2014). The Effect of Problem Based Learning Approach on Conceptual Understanding in Teaching of Magnetism Topics. </w:t>
      </w:r>
      <w:r w:rsidRPr="004161D4">
        <w:rPr>
          <w:rFonts w:ascii="Times New Roman" w:eastAsia="Calibri" w:hAnsi="Times New Roman" w:cs="Times New Roman"/>
          <w:i/>
          <w:iCs/>
          <w:sz w:val="24"/>
          <w:szCs w:val="24"/>
          <w:lang w:val="en-US"/>
        </w:rPr>
        <w:t>International Journal of Physics &amp; Chemistry Education</w:t>
      </w:r>
      <w:r w:rsidRPr="004161D4">
        <w:rPr>
          <w:rFonts w:ascii="Times New Roman" w:eastAsia="Calibri" w:hAnsi="Times New Roman" w:cs="Times New Roman"/>
          <w:sz w:val="24"/>
          <w:szCs w:val="24"/>
          <w:lang w:val="en-US"/>
        </w:rPr>
        <w:t xml:space="preserve">, </w:t>
      </w:r>
      <w:r w:rsidRPr="004161D4">
        <w:rPr>
          <w:rFonts w:ascii="Times New Roman" w:eastAsia="Calibri" w:hAnsi="Times New Roman" w:cs="Times New Roman"/>
          <w:i/>
          <w:iCs/>
          <w:sz w:val="24"/>
          <w:szCs w:val="24"/>
          <w:lang w:val="en-US"/>
        </w:rPr>
        <w:t>6</w:t>
      </w:r>
      <w:r w:rsidRPr="004161D4">
        <w:rPr>
          <w:rFonts w:ascii="Times New Roman" w:eastAsia="Calibri" w:hAnsi="Times New Roman" w:cs="Times New Roman"/>
          <w:sz w:val="24"/>
          <w:szCs w:val="24"/>
          <w:lang w:val="en-US"/>
        </w:rPr>
        <w:t xml:space="preserve">(2), 110-122. Retrieved from </w:t>
      </w:r>
      <w:hyperlink r:id="rId21" w:history="1">
        <w:r w:rsidRPr="004161D4">
          <w:rPr>
            <w:rFonts w:ascii="Times New Roman" w:eastAsia="Calibri" w:hAnsi="Times New Roman" w:cs="Times New Roman"/>
            <w:color w:val="0563C1"/>
            <w:sz w:val="24"/>
            <w:szCs w:val="24"/>
            <w:u w:val="single"/>
            <w:lang w:val="en-US"/>
          </w:rPr>
          <w:t>http://www.ijpce.org/index.php/IJPCE/article/view/60</w:t>
        </w:r>
      </w:hyperlink>
      <w:r w:rsidRPr="004161D4">
        <w:rPr>
          <w:rFonts w:ascii="Times New Roman" w:eastAsia="Calibri" w:hAnsi="Times New Roman" w:cs="Times New Roman"/>
          <w:sz w:val="24"/>
          <w:szCs w:val="24"/>
          <w:lang w:val="en-US"/>
        </w:rPr>
        <w:t xml:space="preserve">. </w:t>
      </w:r>
      <w:r w:rsidRPr="004161D4">
        <w:rPr>
          <w:rFonts w:ascii="Times New Roman" w:eastAsia="Calibri" w:hAnsi="Times New Roman" w:cs="Times New Roman"/>
          <w:sz w:val="24"/>
          <w:szCs w:val="24"/>
          <w:lang w:val="en-US"/>
        </w:rPr>
        <w:fldChar w:fldCharType="begin" w:fldLock="1"/>
      </w:r>
      <w:r w:rsidRPr="004161D4">
        <w:rPr>
          <w:rFonts w:ascii="Times New Roman" w:eastAsia="Calibri" w:hAnsi="Times New Roman" w:cs="Times New Roman"/>
          <w:sz w:val="24"/>
          <w:szCs w:val="24"/>
          <w:lang w:val="en-US"/>
        </w:rPr>
        <w:instrText xml:space="preserve">ADDIN Mendeley Bibliography CSL_BIBLIOGRAPHY </w:instrText>
      </w:r>
      <w:r w:rsidRPr="004161D4">
        <w:rPr>
          <w:rFonts w:ascii="Times New Roman" w:eastAsia="Calibri" w:hAnsi="Times New Roman" w:cs="Times New Roman"/>
          <w:sz w:val="24"/>
          <w:szCs w:val="24"/>
          <w:lang w:val="en-US"/>
        </w:rPr>
        <w:fldChar w:fldCharType="separate"/>
      </w:r>
    </w:p>
    <w:p w:rsidR="004161D4" w:rsidRPr="004161D4" w:rsidRDefault="004161D4" w:rsidP="004161D4">
      <w:pPr>
        <w:widowControl w:val="0"/>
        <w:autoSpaceDE w:val="0"/>
        <w:autoSpaceDN w:val="0"/>
        <w:adjustRightInd w:val="0"/>
        <w:spacing w:after="0"/>
        <w:ind w:left="480" w:hanging="480"/>
        <w:jc w:val="both"/>
        <w:rPr>
          <w:rFonts w:ascii="Times New Roman" w:eastAsia="Calibri" w:hAnsi="Times New Roman" w:cs="Times New Roman"/>
          <w:noProof/>
          <w:sz w:val="24"/>
          <w:szCs w:val="24"/>
          <w:lang w:val="en-US"/>
        </w:rPr>
      </w:pPr>
      <w:r w:rsidRPr="004161D4">
        <w:rPr>
          <w:rFonts w:ascii="Times New Roman" w:eastAsia="Calibri" w:hAnsi="Times New Roman" w:cs="Times New Roman"/>
          <w:noProof/>
          <w:sz w:val="24"/>
          <w:szCs w:val="24"/>
          <w:lang w:val="en-US"/>
        </w:rPr>
        <w:t xml:space="preserve">Selatan, S. (2018). Analisis Kemampuan Berpikir Kritis Pada Mata Pelajaran Fisika Untuk Pokok Bahasan Vektor Siswa Kelas X Sma Negeri 4 Lubuklinggau, Sumatera Selatan. </w:t>
      </w:r>
      <w:r w:rsidRPr="004161D4">
        <w:rPr>
          <w:rFonts w:ascii="Times New Roman" w:eastAsia="Calibri" w:hAnsi="Times New Roman" w:cs="Times New Roman"/>
          <w:i/>
          <w:iCs/>
          <w:noProof/>
          <w:sz w:val="24"/>
          <w:szCs w:val="24"/>
          <w:lang w:val="en-US"/>
        </w:rPr>
        <w:t>Berkala Fisika Indonesia : Jurnal Ilmiah Fisika, Pembelajaran Dan Apliksinya</w:t>
      </w:r>
      <w:r w:rsidRPr="004161D4">
        <w:rPr>
          <w:rFonts w:ascii="Times New Roman" w:eastAsia="Calibri" w:hAnsi="Times New Roman" w:cs="Times New Roman"/>
          <w:noProof/>
          <w:sz w:val="24"/>
          <w:szCs w:val="24"/>
          <w:lang w:val="en-US"/>
        </w:rPr>
        <w:t xml:space="preserve">, </w:t>
      </w:r>
      <w:r w:rsidRPr="004161D4">
        <w:rPr>
          <w:rFonts w:ascii="Times New Roman" w:eastAsia="Calibri" w:hAnsi="Times New Roman" w:cs="Times New Roman"/>
          <w:i/>
          <w:iCs/>
          <w:noProof/>
          <w:sz w:val="24"/>
          <w:szCs w:val="24"/>
          <w:lang w:val="en-US"/>
        </w:rPr>
        <w:t>10</w:t>
      </w:r>
      <w:r w:rsidRPr="004161D4">
        <w:rPr>
          <w:rFonts w:ascii="Times New Roman" w:eastAsia="Calibri" w:hAnsi="Times New Roman" w:cs="Times New Roman"/>
          <w:noProof/>
          <w:sz w:val="24"/>
          <w:szCs w:val="24"/>
          <w:lang w:val="en-US"/>
        </w:rPr>
        <w:t>(1), 1–11.</w:t>
      </w:r>
    </w:p>
    <w:p w:rsidR="004161D4" w:rsidRPr="004161D4" w:rsidRDefault="004161D4" w:rsidP="004161D4">
      <w:pPr>
        <w:widowControl w:val="0"/>
        <w:autoSpaceDE w:val="0"/>
        <w:autoSpaceDN w:val="0"/>
        <w:adjustRightInd w:val="0"/>
        <w:spacing w:after="0"/>
        <w:ind w:left="480" w:hanging="480"/>
        <w:jc w:val="both"/>
        <w:rPr>
          <w:rFonts w:ascii="Times New Roman" w:eastAsia="Calibri" w:hAnsi="Times New Roman" w:cs="Times New Roman"/>
          <w:noProof/>
          <w:sz w:val="24"/>
          <w:szCs w:val="24"/>
          <w:lang w:val="en-US"/>
        </w:rPr>
      </w:pPr>
      <w:r w:rsidRPr="004161D4">
        <w:rPr>
          <w:rFonts w:ascii="Times New Roman" w:eastAsia="Calibri" w:hAnsi="Times New Roman" w:cs="Times New Roman"/>
          <w:noProof/>
          <w:sz w:val="24"/>
          <w:szCs w:val="24"/>
          <w:lang w:val="en-US"/>
        </w:rPr>
        <w:t xml:space="preserve">Tajularipin Sulaiman, Vickneswary Muniyan, Diwiyah Madhvan, Raidah Hasan, &amp; Suzieleez Syrene Abdul Rahim. (2017). Implementation Of Higher Order Thinking Skills In Teaching Of Science. </w:t>
      </w:r>
      <w:r w:rsidRPr="004161D4">
        <w:rPr>
          <w:rFonts w:ascii="Times New Roman" w:eastAsia="Calibri" w:hAnsi="Times New Roman" w:cs="Times New Roman"/>
          <w:i/>
          <w:iCs/>
          <w:noProof/>
          <w:sz w:val="24"/>
          <w:szCs w:val="24"/>
          <w:lang w:val="en-US"/>
        </w:rPr>
        <w:t>International Research Journal Of Education And Sciences</w:t>
      </w:r>
      <w:r w:rsidRPr="004161D4">
        <w:rPr>
          <w:rFonts w:ascii="Times New Roman" w:eastAsia="Calibri" w:hAnsi="Times New Roman" w:cs="Times New Roman"/>
          <w:noProof/>
          <w:sz w:val="24"/>
          <w:szCs w:val="24"/>
          <w:lang w:val="en-US"/>
        </w:rPr>
        <w:t xml:space="preserve">, </w:t>
      </w:r>
      <w:r w:rsidRPr="004161D4">
        <w:rPr>
          <w:rFonts w:ascii="Times New Roman" w:eastAsia="Calibri" w:hAnsi="Times New Roman" w:cs="Times New Roman"/>
          <w:i/>
          <w:iCs/>
          <w:noProof/>
          <w:sz w:val="24"/>
          <w:szCs w:val="24"/>
          <w:lang w:val="en-US"/>
        </w:rPr>
        <w:t>1</w:t>
      </w:r>
      <w:r w:rsidRPr="004161D4">
        <w:rPr>
          <w:rFonts w:ascii="Times New Roman" w:eastAsia="Calibri" w:hAnsi="Times New Roman" w:cs="Times New Roman"/>
          <w:noProof/>
          <w:sz w:val="24"/>
          <w:szCs w:val="24"/>
          <w:lang w:val="en-US"/>
        </w:rPr>
        <w:t>(1), 1–3.</w:t>
      </w:r>
    </w:p>
    <w:p w:rsidR="004161D4" w:rsidRPr="004161D4" w:rsidRDefault="004161D4" w:rsidP="004161D4">
      <w:pPr>
        <w:spacing w:after="0"/>
        <w:ind w:left="993" w:hanging="993"/>
        <w:jc w:val="both"/>
        <w:rPr>
          <w:rFonts w:ascii="Times New Roman" w:hAnsi="Times New Roman" w:cs="Times New Roman"/>
          <w:sz w:val="24"/>
          <w:szCs w:val="24"/>
          <w:lang w:val="en-US"/>
        </w:rPr>
      </w:pPr>
      <w:r w:rsidRPr="004161D4">
        <w:rPr>
          <w:rFonts w:ascii="Times New Roman" w:hAnsi="Times New Roman" w:cs="Times New Roman"/>
          <w:iCs/>
          <w:sz w:val="24"/>
          <w:szCs w:val="24"/>
          <w:lang w:val="en-US"/>
        </w:rPr>
        <w:t xml:space="preserve">Uygun, N., &amp; Tertemiz, N. (2014). Effects of Problem-Based Learning on Student Attitudes , Achievement and Retention of Learning in Math Course. </w:t>
      </w:r>
      <w:r w:rsidRPr="004161D4">
        <w:rPr>
          <w:rFonts w:ascii="Times New Roman" w:eastAsia="Calibri" w:hAnsi="Times New Roman" w:cs="Times New Roman"/>
          <w:sz w:val="24"/>
          <w:szCs w:val="24"/>
          <w:lang w:val="en-US"/>
        </w:rPr>
        <w:t xml:space="preserve">Education and Science. Vol 39, No. 17DOI: 10.15390/EB.2014.1975. </w:t>
      </w:r>
    </w:p>
    <w:p w:rsidR="004161D4" w:rsidRPr="004161D4" w:rsidRDefault="004161D4" w:rsidP="004161D4">
      <w:pPr>
        <w:widowControl w:val="0"/>
        <w:autoSpaceDE w:val="0"/>
        <w:autoSpaceDN w:val="0"/>
        <w:adjustRightInd w:val="0"/>
        <w:spacing w:after="0"/>
        <w:ind w:left="480" w:hanging="480"/>
        <w:jc w:val="both"/>
        <w:rPr>
          <w:rFonts w:ascii="Times New Roman" w:eastAsia="Calibri" w:hAnsi="Times New Roman" w:cs="Times New Roman"/>
          <w:noProof/>
          <w:sz w:val="24"/>
          <w:szCs w:val="24"/>
          <w:lang w:val="en-US"/>
        </w:rPr>
      </w:pPr>
      <w:r w:rsidRPr="004161D4">
        <w:rPr>
          <w:rFonts w:ascii="Times New Roman" w:eastAsia="Calibri" w:hAnsi="Times New Roman" w:cs="Times New Roman"/>
          <w:noProof/>
          <w:sz w:val="24"/>
          <w:szCs w:val="24"/>
          <w:lang w:val="en-US"/>
        </w:rPr>
        <w:t xml:space="preserve">Yuliati, S. R., &amp; Lestari, I. (2018). Higher-Order Thinking Skills (Hots) Analysis Of Students In Solving Hots Question In Higher Education. </w:t>
      </w:r>
      <w:r w:rsidRPr="004161D4">
        <w:rPr>
          <w:rFonts w:ascii="Times New Roman" w:eastAsia="Calibri" w:hAnsi="Times New Roman" w:cs="Times New Roman"/>
          <w:i/>
          <w:iCs/>
          <w:noProof/>
          <w:sz w:val="24"/>
          <w:szCs w:val="24"/>
          <w:lang w:val="en-US"/>
        </w:rPr>
        <w:t>Perspektif Ilmu Pendidikan</w:t>
      </w:r>
      <w:r w:rsidRPr="004161D4">
        <w:rPr>
          <w:rFonts w:ascii="Times New Roman" w:eastAsia="Calibri" w:hAnsi="Times New Roman" w:cs="Times New Roman"/>
          <w:noProof/>
          <w:sz w:val="24"/>
          <w:szCs w:val="24"/>
          <w:lang w:val="en-US"/>
        </w:rPr>
        <w:t xml:space="preserve">, </w:t>
      </w:r>
      <w:r w:rsidRPr="004161D4">
        <w:rPr>
          <w:rFonts w:ascii="Times New Roman" w:eastAsia="Calibri" w:hAnsi="Times New Roman" w:cs="Times New Roman"/>
          <w:i/>
          <w:iCs/>
          <w:noProof/>
          <w:sz w:val="24"/>
          <w:szCs w:val="24"/>
          <w:lang w:val="en-US"/>
        </w:rPr>
        <w:t>32</w:t>
      </w:r>
      <w:r w:rsidRPr="004161D4">
        <w:rPr>
          <w:rFonts w:ascii="Times New Roman" w:eastAsia="Calibri" w:hAnsi="Times New Roman" w:cs="Times New Roman"/>
          <w:noProof/>
          <w:sz w:val="24"/>
          <w:szCs w:val="24"/>
          <w:lang w:val="en-US"/>
        </w:rPr>
        <w:t>(2), 181–</w:t>
      </w:r>
      <w:r w:rsidRPr="004161D4">
        <w:rPr>
          <w:rFonts w:ascii="Times New Roman" w:eastAsia="Calibri" w:hAnsi="Times New Roman" w:cs="Times New Roman"/>
          <w:noProof/>
          <w:sz w:val="24"/>
          <w:szCs w:val="24"/>
          <w:lang w:val="en-US"/>
        </w:rPr>
        <w:lastRenderedPageBreak/>
        <w:t>188. Https://Doi.Org/10.21009/Pip.322.10.</w:t>
      </w:r>
    </w:p>
    <w:p w:rsidR="004161D4" w:rsidRPr="004161D4" w:rsidRDefault="004161D4" w:rsidP="004161D4">
      <w:pPr>
        <w:spacing w:after="0"/>
        <w:ind w:left="709" w:hanging="709"/>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 xml:space="preserve">Yousef A. 2016.  Assessment Techniques and Students’ Higher-Order Thinking Skills, </w:t>
      </w:r>
      <w:r w:rsidRPr="004161D4">
        <w:rPr>
          <w:rFonts w:ascii="Times New Roman" w:eastAsia="Calibri" w:hAnsi="Times New Roman" w:cs="Times New Roman"/>
          <w:i/>
          <w:iCs/>
          <w:sz w:val="24"/>
          <w:szCs w:val="24"/>
          <w:lang w:val="en-US"/>
        </w:rPr>
        <w:t>International Journal of Secondary Education</w:t>
      </w:r>
      <w:r w:rsidRPr="004161D4">
        <w:rPr>
          <w:rFonts w:ascii="Times New Roman" w:eastAsia="Calibri" w:hAnsi="Times New Roman" w:cs="Times New Roman"/>
          <w:sz w:val="24"/>
          <w:szCs w:val="24"/>
          <w:lang w:val="en-US"/>
        </w:rPr>
        <w:t>. Vol. 4, No. 1, pp. 1-11. doi: 10.11648/j.ijsedu.20160401.11.</w:t>
      </w:r>
    </w:p>
    <w:p w:rsidR="004161D4" w:rsidRPr="004161D4" w:rsidRDefault="004161D4" w:rsidP="004161D4">
      <w:pPr>
        <w:spacing w:after="0"/>
        <w:ind w:left="709" w:hanging="709"/>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t xml:space="preserve">Winch, C. (2006). Graduate attributes and changing conceptions  of  learn¬ing. Dalam Hager, P. &amp; Holland, S., Graduate attributes, learning and employability, (pp. 67-90). Dordrecht: Springer. </w:t>
      </w:r>
    </w:p>
    <w:p w:rsidR="004161D4" w:rsidRPr="004161D4" w:rsidRDefault="004161D4" w:rsidP="004161D4">
      <w:pPr>
        <w:spacing w:after="0"/>
        <w:ind w:left="709" w:hanging="709"/>
        <w:jc w:val="both"/>
        <w:rPr>
          <w:rFonts w:ascii="Times New Roman" w:eastAsia="Calibri" w:hAnsi="Times New Roman" w:cs="Times New Roman"/>
          <w:sz w:val="24"/>
          <w:szCs w:val="24"/>
          <w:lang w:val="en-US"/>
        </w:rPr>
      </w:pPr>
    </w:p>
    <w:p w:rsidR="004161D4" w:rsidRPr="004161D4" w:rsidRDefault="004161D4" w:rsidP="004161D4">
      <w:pPr>
        <w:widowControl w:val="0"/>
        <w:autoSpaceDE w:val="0"/>
        <w:autoSpaceDN w:val="0"/>
        <w:adjustRightInd w:val="0"/>
        <w:spacing w:after="0"/>
        <w:ind w:left="480" w:hanging="480"/>
        <w:jc w:val="both"/>
        <w:rPr>
          <w:rFonts w:ascii="Times New Roman" w:eastAsia="Calibri" w:hAnsi="Times New Roman" w:cs="Times New Roman"/>
          <w:noProof/>
          <w:sz w:val="24"/>
          <w:lang w:val="en-US"/>
        </w:rPr>
      </w:pPr>
    </w:p>
    <w:p w:rsidR="004161D4" w:rsidRPr="004161D4" w:rsidRDefault="004161D4" w:rsidP="004161D4">
      <w:pPr>
        <w:spacing w:after="160"/>
        <w:jc w:val="both"/>
        <w:rPr>
          <w:rFonts w:ascii="Times New Roman" w:eastAsia="Calibri" w:hAnsi="Times New Roman" w:cs="Times New Roman"/>
          <w:sz w:val="24"/>
          <w:szCs w:val="24"/>
          <w:lang w:val="en-US"/>
        </w:rPr>
      </w:pPr>
      <w:r w:rsidRPr="004161D4">
        <w:rPr>
          <w:rFonts w:ascii="Times New Roman" w:eastAsia="Calibri" w:hAnsi="Times New Roman" w:cs="Times New Roman"/>
          <w:sz w:val="24"/>
          <w:szCs w:val="24"/>
          <w:lang w:val="en-US"/>
        </w:rPr>
        <w:fldChar w:fldCharType="end"/>
      </w:r>
    </w:p>
    <w:p w:rsidR="004161D4" w:rsidRPr="004161D4" w:rsidRDefault="004161D4" w:rsidP="004161D4">
      <w:pPr>
        <w:spacing w:after="0"/>
        <w:ind w:right="-5"/>
        <w:jc w:val="both"/>
        <w:rPr>
          <w:rFonts w:ascii="Times New Roman" w:eastAsia="Calibri" w:hAnsi="Times New Roman" w:cs="Times New Roman"/>
          <w:sz w:val="24"/>
          <w:szCs w:val="24"/>
          <w:lang w:val="en-US"/>
        </w:rPr>
      </w:pPr>
    </w:p>
    <w:p w:rsidR="00E61A21" w:rsidRDefault="00E61A21" w:rsidP="004161D4">
      <w:pPr>
        <w:pStyle w:val="Heading1"/>
        <w:numPr>
          <w:ilvl w:val="0"/>
          <w:numId w:val="0"/>
        </w:numPr>
        <w:spacing w:before="0" w:after="0" w:line="276" w:lineRule="auto"/>
        <w:jc w:val="both"/>
      </w:pPr>
    </w:p>
    <w:sectPr w:rsidR="00E61A21" w:rsidSect="00162BEE">
      <w:headerReference w:type="default" r:id="rId22"/>
      <w:footerReference w:type="default" r:id="rId23"/>
      <w:headerReference w:type="first" r:id="rId24"/>
      <w:type w:val="continuous"/>
      <w:pgSz w:w="11906" w:h="16838"/>
      <w:pgMar w:top="831" w:right="1440" w:bottom="1440" w:left="1440" w:header="709" w:footer="709" w:gutter="0"/>
      <w:pgNumType w:start="156"/>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7C" w:rsidRDefault="004F347C">
      <w:pPr>
        <w:spacing w:line="240" w:lineRule="auto"/>
      </w:pPr>
      <w:r>
        <w:separator/>
      </w:r>
    </w:p>
  </w:endnote>
  <w:endnote w:type="continuationSeparator" w:id="0">
    <w:p w:rsidR="004F347C" w:rsidRDefault="004F3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21" w:rsidRDefault="004F347C">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E61A21" w:rsidRDefault="004F347C">
    <w:pPr>
      <w:pStyle w:val="Footer"/>
      <w:jc w:val="right"/>
      <w:rPr>
        <w:rFonts w:ascii="Times New Roman" w:hAnsi="Times New Roman" w:cs="Times New Roman"/>
      </w:rPr>
    </w:pPr>
    <w:r>
      <w:rPr>
        <w:rFonts w:ascii="Times New Roman" w:hAnsi="Times New Roman" w:cs="Times New Roman"/>
        <w:lang w:val="en-US"/>
      </w:rPr>
      <w:t>p-ISSN 2580-3735 e-ISSN 2580-1147</w:t>
    </w:r>
  </w:p>
  <w:p w:rsidR="00E61A21" w:rsidRDefault="00E61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55" w:rsidRPr="00FC7755" w:rsidRDefault="004F347C">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i/>
        <w:color w:val="000000"/>
        <w:sz w:val="20"/>
        <w:szCs w:val="20"/>
        <w:lang w:val="en-US"/>
      </w:rPr>
    </w:pPr>
    <w:r w:rsidRPr="00407C7E">
      <w:rPr>
        <w:rFonts w:ascii="Cambria" w:eastAsia="Brush Script Std" w:hAnsi="Cambria" w:cs="Brush Script Std"/>
        <w:b/>
        <w:color w:val="000000"/>
        <w:sz w:val="20"/>
        <w:szCs w:val="20"/>
      </w:rPr>
      <w:t>Jurnal Kependidikan</w:t>
    </w:r>
    <w:r w:rsidRPr="00FC7755">
      <w:rPr>
        <w:rFonts w:ascii="Times New Roman" w:hAnsi="Times New Roman" w:cs="Times New Roman"/>
        <w:i/>
        <w:color w:val="000000"/>
        <w:sz w:val="20"/>
        <w:szCs w:val="20"/>
      </w:rPr>
      <w:t xml:space="preserve"> </w:t>
    </w:r>
    <w:r>
      <w:rPr>
        <w:rFonts w:ascii="Times New Roman" w:hAnsi="Times New Roman" w:cs="Times New Roman"/>
        <w:i/>
        <w:color w:val="000000"/>
        <w:sz w:val="20"/>
        <w:szCs w:val="20"/>
        <w:lang w:val="en-US"/>
      </w:rPr>
      <w:t>month year</w:t>
    </w:r>
    <w:r>
      <w:rPr>
        <w:rFonts w:ascii="Times New Roman" w:hAnsi="Times New Roman" w:cs="Times New Roman"/>
        <w:i/>
        <w:color w:val="000000"/>
        <w:sz w:val="20"/>
        <w:szCs w:val="20"/>
      </w:rPr>
      <w:t>. Vol</w:t>
    </w:r>
    <w:r w:rsidRPr="00FC7755">
      <w:rPr>
        <w:rFonts w:ascii="Times New Roman" w:hAnsi="Times New Roman" w:cs="Times New Roman"/>
        <w:i/>
        <w:color w:val="000000"/>
        <w:sz w:val="20"/>
        <w:szCs w:val="20"/>
        <w:lang w:val="en-US"/>
      </w:rPr>
      <w:t>,</w:t>
    </w:r>
    <w:r w:rsidRPr="00FC7755">
      <w:rPr>
        <w:rFonts w:ascii="Times New Roman" w:hAnsi="Times New Roman" w:cs="Times New Roman"/>
        <w:i/>
        <w:color w:val="000000"/>
        <w:sz w:val="20"/>
        <w:szCs w:val="20"/>
      </w:rPr>
      <w:t xml:space="preserve"> No.</w:t>
    </w:r>
  </w:p>
  <w:p w:rsidR="009A4BBB" w:rsidRPr="0053364B" w:rsidRDefault="004F347C">
    <w:pPr>
      <w:pBdr>
        <w:top w:val="nil"/>
        <w:left w:val="nil"/>
        <w:bottom w:val="nil"/>
        <w:right w:val="nil"/>
        <w:between w:val="nil"/>
      </w:pBdr>
      <w:tabs>
        <w:tab w:val="center" w:pos="4680"/>
        <w:tab w:val="right" w:pos="9360"/>
      </w:tabs>
      <w:spacing w:after="0" w:line="240" w:lineRule="auto"/>
      <w:jc w:val="right"/>
      <w:rPr>
        <w:color w:val="000000"/>
        <w:sz w:val="20"/>
        <w:szCs w:val="20"/>
        <w:lang w:val="en-US"/>
      </w:rPr>
    </w:pPr>
    <w:r w:rsidRPr="00FC7755">
      <w:rPr>
        <w:rFonts w:ascii="Times New Roman" w:hAnsi="Times New Roman" w:cs="Times New Roman"/>
        <w:i/>
        <w:color w:val="000000"/>
        <w:sz w:val="20"/>
        <w:szCs w:val="20"/>
        <w:lang w:val="en-US"/>
      </w:rPr>
      <w:t xml:space="preserve">Copyright © </w:t>
    </w:r>
    <w:r>
      <w:rPr>
        <w:rFonts w:ascii="Times New Roman" w:hAnsi="Times New Roman" w:cs="Times New Roman"/>
        <w:i/>
        <w:color w:val="000000"/>
        <w:sz w:val="20"/>
        <w:szCs w:val="20"/>
        <w:lang w:val="en-US"/>
      </w:rPr>
      <w:t>JK</w:t>
    </w:r>
    <w:r>
      <w:rPr>
        <w:rFonts w:ascii="Times New Roman" w:hAnsi="Times New Roman" w:cs="Times New Roman"/>
        <w:i/>
        <w:color w:val="000000"/>
        <w:sz w:val="20"/>
        <w:szCs w:val="20"/>
        <w:lang w:val="en-US"/>
      </w:rPr>
      <w:t xml:space="preserve">, </w:t>
    </w:r>
    <w:r>
      <w:rPr>
        <w:rFonts w:ascii="Times New Roman" w:hAnsi="Times New Roman" w:cs="Times New Roman"/>
        <w:sz w:val="20"/>
        <w:szCs w:val="20"/>
        <w:lang w:val="en-US"/>
      </w:rPr>
      <w:t>Authors</w:t>
    </w:r>
    <w:r w:rsidRPr="00FC7755">
      <w:rPr>
        <w:rFonts w:ascii="Times New Roman" w:hAnsi="Times New Roman" w:cs="Times New Roman"/>
        <w:i/>
        <w:color w:val="000000"/>
        <w:sz w:val="20"/>
        <w:szCs w:val="20"/>
      </w:rPr>
      <w:tab/>
    </w:r>
    <w:r w:rsidRPr="00FC7755">
      <w:rPr>
        <w:rFonts w:ascii="Times New Roman" w:hAnsi="Times New Roman" w:cs="Times New Roman"/>
        <w:i/>
        <w:color w:val="000000"/>
        <w:sz w:val="20"/>
        <w:szCs w:val="20"/>
      </w:rPr>
      <w:tab/>
    </w:r>
  </w:p>
  <w:p w:rsidR="009A4BBB" w:rsidRPr="00FC7755" w:rsidRDefault="004F347C">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7C" w:rsidRDefault="004F347C">
      <w:pPr>
        <w:spacing w:after="0" w:line="240" w:lineRule="auto"/>
      </w:pPr>
      <w:r>
        <w:separator/>
      </w:r>
    </w:p>
  </w:footnote>
  <w:footnote w:type="continuationSeparator" w:id="0">
    <w:p w:rsidR="004F347C" w:rsidRDefault="004F3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21" w:rsidRDefault="004F347C">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Siswa Kelas 5 </w:t>
    </w:r>
    <w:r>
      <w:rPr>
        <w:rFonts w:ascii="Times New Roman" w:hAnsi="Times New Roman" w:cs="Times New Roman"/>
        <w:i/>
        <w:lang w:val="en-US"/>
      </w:rPr>
      <w:t>Sekolah Dasar pada Materi Pecahan – Een Unaenah, Muhammad Syarif Sumantri</w:t>
    </w:r>
  </w:p>
  <w:p w:rsidR="00E61A21" w:rsidRDefault="00E61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21" w:rsidRDefault="004F347C">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4161D4" w:rsidRPr="004161D4">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E61A21" w:rsidRDefault="004F347C">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E61A21" w:rsidRDefault="00E61A21">
    <w:pPr>
      <w:spacing w:after="0" w:line="240" w:lineRule="auto"/>
      <w:ind w:left="709" w:hanging="709"/>
      <w:jc w:val="both"/>
      <w:rPr>
        <w:rFonts w:ascii="Times New Roman" w:hAnsi="Times New Roman" w:cs="Times New Roman"/>
        <w:b/>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4F347C">
    <w:pPr>
      <w:widowControl w:val="0"/>
      <w:pBdr>
        <w:top w:val="nil"/>
        <w:left w:val="nil"/>
        <w:bottom w:val="nil"/>
        <w:right w:val="nil"/>
        <w:between w:val="nil"/>
      </w:pBdr>
      <w:spacing w:after="0"/>
    </w:pPr>
  </w:p>
  <w:tbl>
    <w:tblPr>
      <w:tblW w:w="9738" w:type="dxa"/>
      <w:tblBorders>
        <w:bottom w:val="thinThickSmallGap" w:sz="24" w:space="0" w:color="auto"/>
      </w:tblBorders>
      <w:tblLayout w:type="fixed"/>
      <w:tblLook w:val="0400" w:firstRow="0" w:lastRow="0" w:firstColumn="0" w:lastColumn="0" w:noHBand="0" w:noVBand="1"/>
    </w:tblPr>
    <w:tblGrid>
      <w:gridCol w:w="1242"/>
      <w:gridCol w:w="5706"/>
      <w:gridCol w:w="2790"/>
    </w:tblGrid>
    <w:tr w:rsidR="00575D31" w:rsidTr="002C3014">
      <w:trPr>
        <w:trHeight w:val="1032"/>
      </w:trPr>
      <w:tc>
        <w:tcPr>
          <w:tcW w:w="1242" w:type="dxa"/>
        </w:tcPr>
        <w:p w:rsidR="00575D31" w:rsidRPr="00C3780F" w:rsidRDefault="004161D4"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b/>
              <w:color w:val="000000"/>
              <w:sz w:val="20"/>
              <w:szCs w:val="20"/>
            </w:rPr>
          </w:pPr>
          <w:r w:rsidRPr="00C3780F">
            <w:rPr>
              <w:rFonts w:ascii="Times New Roman" w:hAnsi="Times New Roman" w:cs="Times New Roman"/>
              <w:b/>
              <w:noProof/>
              <w:color w:val="000000"/>
              <w:sz w:val="20"/>
              <w:szCs w:val="20"/>
              <w:lang w:val="en-US"/>
            </w:rPr>
            <w:drawing>
              <wp:inline distT="0" distB="0" distL="0" distR="0">
                <wp:extent cx="723265" cy="563245"/>
                <wp:effectExtent l="0" t="0" r="635" b="8255"/>
                <wp:docPr id="9" name="Picture 9"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63245"/>
                        </a:xfrm>
                        <a:prstGeom prst="rect">
                          <a:avLst/>
                        </a:prstGeom>
                        <a:noFill/>
                        <a:ln>
                          <a:noFill/>
                        </a:ln>
                      </pic:spPr>
                    </pic:pic>
                  </a:graphicData>
                </a:graphic>
              </wp:inline>
            </w:drawing>
          </w:r>
        </w:p>
      </w:tc>
      <w:tc>
        <w:tcPr>
          <w:tcW w:w="5706" w:type="dxa"/>
        </w:tcPr>
        <w:p w:rsidR="00575D31" w:rsidRPr="003C42B0" w:rsidRDefault="004F347C"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b/>
              <w:color w:val="000000"/>
              <w:sz w:val="24"/>
              <w:szCs w:val="24"/>
              <w:lang w:val="en-US"/>
            </w:rPr>
          </w:pPr>
          <w:r w:rsidRPr="003C42B0">
            <w:rPr>
              <w:rFonts w:ascii="Times New Roman" w:hAnsi="Times New Roman" w:cs="Times New Roman"/>
              <w:b/>
              <w:color w:val="000000"/>
              <w:sz w:val="24"/>
              <w:szCs w:val="24"/>
            </w:rPr>
            <w:t xml:space="preserve">Jurnal Kependidikan: </w:t>
          </w:r>
        </w:p>
        <w:p w:rsidR="00FC7755" w:rsidRDefault="004F347C"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b/>
              <w:color w:val="000000"/>
              <w:sz w:val="20"/>
              <w:szCs w:val="20"/>
              <w:lang w:val="en-US"/>
            </w:rPr>
          </w:pPr>
          <w:r w:rsidRPr="00C3780F">
            <w:rPr>
              <w:rFonts w:ascii="Times New Roman" w:hAnsi="Times New Roman" w:cs="Times New Roman"/>
              <w:b/>
              <w:color w:val="000000"/>
              <w:sz w:val="20"/>
              <w:szCs w:val="20"/>
            </w:rPr>
            <w:t xml:space="preserve">Jurnal Hasil Penelitian dan Kajian Kepustakaan </w:t>
          </w:r>
        </w:p>
        <w:p w:rsidR="00575D31" w:rsidRPr="00C3780F" w:rsidRDefault="004F347C" w:rsidP="007B4E4E">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hAnsi="Times New Roman" w:cs="Times New Roman"/>
              <w:b/>
              <w:color w:val="000000"/>
              <w:sz w:val="20"/>
              <w:szCs w:val="20"/>
            </w:rPr>
            <w:t>di Bidang Pendidikan, Pengaj</w:t>
          </w:r>
          <w:r w:rsidRPr="00C3780F">
            <w:rPr>
              <w:rFonts w:ascii="Times New Roman" w:hAnsi="Times New Roman" w:cs="Times New Roman"/>
              <w:b/>
              <w:color w:val="000000"/>
              <w:sz w:val="20"/>
              <w:szCs w:val="20"/>
            </w:rPr>
            <w:t>aran dan Pembelajaran</w:t>
          </w:r>
        </w:p>
        <w:p w:rsidR="00407C7E" w:rsidRPr="00407C7E" w:rsidRDefault="004F347C"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i/>
              <w:color w:val="0563C1"/>
              <w:sz w:val="20"/>
              <w:szCs w:val="20"/>
              <w:u w:val="single"/>
            </w:rPr>
          </w:pPr>
          <w:r w:rsidRPr="00805E51">
            <w:rPr>
              <w:rFonts w:ascii="Times New Roman" w:hAnsi="Times New Roman" w:cs="Times New Roman"/>
              <w:i/>
              <w:color w:val="0563C1"/>
              <w:sz w:val="20"/>
              <w:szCs w:val="20"/>
              <w:u w:val="single"/>
            </w:rPr>
            <w:t>https://e-journal.undikma.ac.id/index.php/jurnalkependidikan/index</w:t>
          </w:r>
        </w:p>
      </w:tc>
      <w:tc>
        <w:tcPr>
          <w:tcW w:w="2790" w:type="dxa"/>
        </w:tcPr>
        <w:p w:rsidR="00575D31" w:rsidRPr="00C3780F" w:rsidRDefault="004F347C" w:rsidP="00801967">
          <w:pPr>
            <w:pBdr>
              <w:top w:val="nil"/>
              <w:left w:val="nil"/>
              <w:bottom w:val="nil"/>
              <w:right w:val="nil"/>
              <w:between w:val="nil"/>
            </w:pBdr>
            <w:tabs>
              <w:tab w:val="center" w:pos="4680"/>
              <w:tab w:val="right" w:pos="9360"/>
            </w:tabs>
            <w:spacing w:after="0" w:line="240" w:lineRule="auto"/>
            <w:rPr>
              <w:rFonts w:ascii="Times New Roman" w:hAnsi="Times New Roman" w:cs="Times New Roman"/>
              <w:i/>
              <w:color w:val="000000"/>
              <w:sz w:val="20"/>
              <w:szCs w:val="20"/>
            </w:rPr>
          </w:pPr>
          <w:r w:rsidRPr="00407C7E">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 xml:space="preserve"> </w:t>
          </w:r>
          <w:r w:rsidRPr="002C3014">
            <w:rPr>
              <w:rFonts w:ascii="Times New Roman" w:hAnsi="Times New Roman" w:cs="Times New Roman"/>
              <w:i/>
              <w:color w:val="000000"/>
              <w:sz w:val="20"/>
              <w:szCs w:val="20"/>
            </w:rPr>
            <w:t xml:space="preserve">   </w:t>
          </w:r>
          <w:r w:rsidRPr="002C3014">
            <w:rPr>
              <w:rFonts w:ascii="Times New Roman" w:hAnsi="Times New Roman" w:cs="Times New Roman"/>
              <w:i/>
              <w:color w:val="000000"/>
              <w:sz w:val="20"/>
              <w:szCs w:val="20"/>
            </w:rPr>
            <w:t xml:space="preserve">   </w:t>
          </w:r>
          <w:r w:rsidRPr="002C3014">
            <w:rPr>
              <w:rFonts w:ascii="Times New Roman" w:hAnsi="Times New Roman" w:cs="Times New Roman"/>
              <w:i/>
              <w:color w:val="000000"/>
              <w:sz w:val="20"/>
              <w:szCs w:val="20"/>
            </w:rPr>
            <w:t xml:space="preserve"> </w:t>
          </w:r>
          <w:r>
            <w:rPr>
              <w:rFonts w:ascii="Times New Roman" w:hAnsi="Times New Roman" w:cs="Times New Roman"/>
              <w:i/>
              <w:color w:val="000000"/>
              <w:sz w:val="20"/>
              <w:szCs w:val="20"/>
              <w:lang w:val="en-US"/>
            </w:rPr>
            <w:t>Month-Year</w:t>
          </w:r>
          <w:r w:rsidRPr="00C3780F">
            <w:rPr>
              <w:rFonts w:ascii="Times New Roman" w:hAnsi="Times New Roman" w:cs="Times New Roman"/>
              <w:i/>
              <w:color w:val="000000"/>
              <w:sz w:val="20"/>
              <w:szCs w:val="20"/>
            </w:rPr>
            <w:t>. Vol.</w:t>
          </w:r>
          <w:r>
            <w:rPr>
              <w:rFonts w:ascii="Times New Roman" w:hAnsi="Times New Roman" w:cs="Times New Roman"/>
              <w:i/>
              <w:color w:val="000000"/>
              <w:sz w:val="20"/>
              <w:szCs w:val="20"/>
              <w:lang w:val="en-US"/>
            </w:rPr>
            <w:t>,</w:t>
          </w:r>
          <w:r>
            <w:rPr>
              <w:rFonts w:ascii="Times New Roman" w:hAnsi="Times New Roman" w:cs="Times New Roman"/>
              <w:i/>
              <w:color w:val="000000"/>
              <w:sz w:val="20"/>
              <w:szCs w:val="20"/>
            </w:rPr>
            <w:t xml:space="preserve"> No</w:t>
          </w:r>
          <w:r>
            <w:rPr>
              <w:rFonts w:ascii="Times New Roman" w:hAnsi="Times New Roman" w:cs="Times New Roman"/>
              <w:i/>
              <w:color w:val="000000"/>
              <w:sz w:val="20"/>
              <w:szCs w:val="20"/>
              <w:lang w:val="en-US"/>
            </w:rPr>
            <w:t>.</w:t>
          </w:r>
          <w:r w:rsidRPr="00C3780F">
            <w:rPr>
              <w:rFonts w:ascii="Times New Roman" w:hAnsi="Times New Roman" w:cs="Times New Roman"/>
              <w:i/>
              <w:color w:val="000000"/>
              <w:sz w:val="20"/>
              <w:szCs w:val="20"/>
            </w:rPr>
            <w:t xml:space="preserve"> </w:t>
          </w:r>
        </w:p>
        <w:p w:rsidR="00575D31" w:rsidRPr="00C3780F" w:rsidRDefault="004F347C" w:rsidP="007B4E4E">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i/>
              <w:color w:val="000000"/>
              <w:sz w:val="20"/>
              <w:szCs w:val="20"/>
            </w:rPr>
          </w:pPr>
          <w:r w:rsidRPr="00C3780F">
            <w:rPr>
              <w:rFonts w:ascii="Times New Roman" w:hAnsi="Times New Roman" w:cs="Times New Roman"/>
              <w:i/>
              <w:color w:val="000000"/>
              <w:sz w:val="20"/>
              <w:szCs w:val="20"/>
            </w:rPr>
            <w:t>e-ISSN: 2</w:t>
          </w:r>
          <w:r w:rsidRPr="00C3780F">
            <w:rPr>
              <w:rFonts w:ascii="Times New Roman" w:hAnsi="Times New Roman" w:cs="Times New Roman"/>
              <w:i/>
              <w:sz w:val="20"/>
              <w:szCs w:val="20"/>
            </w:rPr>
            <w:t>442</w:t>
          </w:r>
          <w:r w:rsidRPr="00C3780F">
            <w:rPr>
              <w:rFonts w:ascii="Times New Roman" w:hAnsi="Times New Roman" w:cs="Times New Roman"/>
              <w:i/>
              <w:color w:val="000000"/>
              <w:sz w:val="20"/>
              <w:szCs w:val="20"/>
            </w:rPr>
            <w:t>-7</w:t>
          </w:r>
          <w:r w:rsidRPr="00C3780F">
            <w:rPr>
              <w:rFonts w:ascii="Times New Roman" w:hAnsi="Times New Roman" w:cs="Times New Roman"/>
              <w:i/>
              <w:sz w:val="20"/>
              <w:szCs w:val="20"/>
            </w:rPr>
            <w:t>667</w:t>
          </w:r>
        </w:p>
        <w:p w:rsidR="008D3AFC" w:rsidRDefault="004F347C" w:rsidP="008D3AFC">
          <w:pPr>
            <w:pBdr>
              <w:top w:val="nil"/>
              <w:left w:val="nil"/>
              <w:bottom w:val="nil"/>
              <w:right w:val="nil"/>
              <w:between w:val="nil"/>
            </w:pBdr>
            <w:tabs>
              <w:tab w:val="center" w:pos="4680"/>
              <w:tab w:val="right" w:pos="9360"/>
            </w:tabs>
            <w:spacing w:after="80" w:line="240" w:lineRule="auto"/>
            <w:jc w:val="right"/>
            <w:rPr>
              <w:rFonts w:ascii="Times New Roman" w:hAnsi="Times New Roman" w:cs="Times New Roman"/>
              <w:i/>
              <w:color w:val="000000"/>
              <w:sz w:val="20"/>
              <w:szCs w:val="20"/>
              <w:lang w:val="en-US"/>
            </w:rPr>
          </w:pPr>
          <w:r>
            <w:rPr>
              <w:rFonts w:ascii="Times New Roman" w:hAnsi="Times New Roman" w:cs="Times New Roman"/>
              <w:i/>
              <w:color w:val="000000"/>
              <w:sz w:val="20"/>
              <w:szCs w:val="20"/>
            </w:rPr>
            <w:t>pp</w:t>
          </w:r>
          <w:r>
            <w:rPr>
              <w:rFonts w:ascii="Times New Roman" w:hAnsi="Times New Roman" w:cs="Times New Roman"/>
              <w:i/>
              <w:color w:val="000000"/>
              <w:sz w:val="20"/>
              <w:szCs w:val="20"/>
              <w:lang w:val="en-US"/>
            </w:rPr>
            <w:t xml:space="preserve"> xx</w:t>
          </w:r>
          <w:r>
            <w:rPr>
              <w:rFonts w:ascii="Times New Roman" w:hAnsi="Times New Roman" w:cs="Times New Roman"/>
              <w:i/>
              <w:color w:val="000000"/>
              <w:sz w:val="20"/>
              <w:szCs w:val="20"/>
              <w:lang w:val="en-US"/>
            </w:rPr>
            <w:t>.</w:t>
          </w:r>
          <w:r w:rsidRPr="00C3780F">
            <w:rPr>
              <w:rFonts w:ascii="Times New Roman" w:hAnsi="Times New Roman" w:cs="Times New Roman"/>
              <w:i/>
              <w:color w:val="000000"/>
              <w:sz w:val="20"/>
              <w:szCs w:val="20"/>
            </w:rPr>
            <w:t xml:space="preserve"> </w:t>
          </w:r>
        </w:p>
        <w:p w:rsidR="00575D31" w:rsidRPr="00C3780F" w:rsidRDefault="004F347C" w:rsidP="007B4E4E">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i/>
              <w:color w:val="000000"/>
              <w:sz w:val="20"/>
              <w:szCs w:val="20"/>
            </w:rPr>
          </w:pPr>
          <w:r w:rsidRPr="00D908C6">
            <w:rPr>
              <w:rFonts w:ascii="Times New Roman" w:hAnsi="Times New Roman" w:cs="Times New Roman"/>
              <w:i/>
              <w:color w:val="0070C0"/>
              <w:sz w:val="17"/>
              <w:szCs w:val="17"/>
              <w:u w:val="single"/>
              <w:lang w:val="en-US"/>
            </w:rPr>
            <w:t>Email: jlppm@ikipmataram.ac.id</w:t>
          </w:r>
          <w:r w:rsidRPr="00C3780F">
            <w:rPr>
              <w:rFonts w:ascii="Times New Roman" w:hAnsi="Times New Roman" w:cs="Times New Roman"/>
              <w:i/>
              <w:color w:val="000000"/>
              <w:sz w:val="20"/>
              <w:szCs w:val="20"/>
            </w:rPr>
            <w:t xml:space="preserve"> </w:t>
          </w:r>
        </w:p>
      </w:tc>
    </w:tr>
  </w:tbl>
  <w:p w:rsidR="009A4BBB" w:rsidRDefault="004F347C">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4F347C">
    <w:pPr>
      <w:widowControl w:val="0"/>
      <w:pBdr>
        <w:top w:val="nil"/>
        <w:left w:val="nil"/>
        <w:bottom w:val="nil"/>
        <w:right w:val="nil"/>
        <w:between w:val="nil"/>
      </w:pBdr>
      <w:spacing w:after="0"/>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rsidTr="00C3780F">
      <w:trPr>
        <w:trHeight w:val="960"/>
      </w:trPr>
      <w:tc>
        <w:tcPr>
          <w:tcW w:w="1242" w:type="dxa"/>
        </w:tcPr>
        <w:p w:rsidR="00C23F10" w:rsidRPr="00C3780F" w:rsidRDefault="004161D4" w:rsidP="00C3780F">
          <w:pPr>
            <w:pBdr>
              <w:top w:val="nil"/>
              <w:left w:val="nil"/>
              <w:bottom w:val="nil"/>
              <w:right w:val="nil"/>
              <w:between w:val="nil"/>
            </w:pBdr>
            <w:tabs>
              <w:tab w:val="center" w:pos="4680"/>
              <w:tab w:val="right" w:pos="9360"/>
            </w:tabs>
            <w:spacing w:after="0" w:line="240" w:lineRule="auto"/>
            <w:rPr>
              <w:rFonts w:ascii="Times New Roman" w:hAnsi="Times New Roman" w:cs="Times New Roman"/>
              <w:b/>
              <w:color w:val="000000"/>
              <w:sz w:val="20"/>
              <w:szCs w:val="20"/>
            </w:rPr>
          </w:pPr>
          <w:r w:rsidRPr="00C3780F">
            <w:rPr>
              <w:rFonts w:ascii="Times New Roman" w:hAnsi="Times New Roman" w:cs="Times New Roman"/>
              <w:b/>
              <w:noProof/>
              <w:color w:val="000000"/>
              <w:sz w:val="20"/>
              <w:szCs w:val="20"/>
              <w:lang w:val="en-US"/>
            </w:rPr>
            <w:drawing>
              <wp:inline distT="0" distB="0" distL="0" distR="0">
                <wp:extent cx="723265" cy="563245"/>
                <wp:effectExtent l="0" t="0" r="635" b="8255"/>
                <wp:docPr id="8" name="Picture 8"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63245"/>
                        </a:xfrm>
                        <a:prstGeom prst="rect">
                          <a:avLst/>
                        </a:prstGeom>
                        <a:noFill/>
                        <a:ln>
                          <a:noFill/>
                        </a:ln>
                      </pic:spPr>
                    </pic:pic>
                  </a:graphicData>
                </a:graphic>
              </wp:inline>
            </w:drawing>
          </w:r>
        </w:p>
      </w:tc>
      <w:tc>
        <w:tcPr>
          <w:tcW w:w="5529" w:type="dxa"/>
        </w:tcPr>
        <w:p w:rsidR="00C23F10" w:rsidRPr="00C3780F" w:rsidRDefault="004F347C"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hAnsi="Times New Roman" w:cs="Times New Roman"/>
              <w:b/>
              <w:color w:val="000000"/>
              <w:sz w:val="20"/>
              <w:szCs w:val="20"/>
            </w:rPr>
            <w:t>Jurnal Kependidikan: Jurnal Hasil Penelitian dan Kajian Kepustakaan di Bidang Pendidikan, Pengajaran dan Pembelajaran</w:t>
          </w:r>
        </w:p>
        <w:p w:rsidR="00C23F10" w:rsidRPr="00C3780F" w:rsidRDefault="004F347C" w:rsidP="00C3780F">
          <w:pPr>
            <w:pBdr>
              <w:top w:val="nil"/>
              <w:left w:val="nil"/>
              <w:bottom w:val="nil"/>
              <w:right w:val="nil"/>
              <w:between w:val="nil"/>
            </w:pBdr>
            <w:tabs>
              <w:tab w:val="center" w:pos="4680"/>
              <w:tab w:val="right" w:pos="9360"/>
            </w:tabs>
            <w:spacing w:after="0" w:line="240" w:lineRule="auto"/>
            <w:rPr>
              <w:rFonts w:ascii="Times New Roman" w:hAnsi="Times New Roman" w:cs="Times New Roman"/>
              <w:i/>
              <w:color w:val="000000"/>
              <w:sz w:val="20"/>
              <w:szCs w:val="20"/>
            </w:rPr>
          </w:pPr>
          <w:r w:rsidRPr="00C3780F">
            <w:rPr>
              <w:rFonts w:ascii="Times New Roman" w:hAnsi="Times New Roman" w:cs="Times New Roman"/>
              <w:i/>
              <w:color w:val="0563C1"/>
              <w:sz w:val="20"/>
              <w:szCs w:val="20"/>
              <w:u w:val="single"/>
            </w:rPr>
            <w:t>http://ojs.ikipmataram.ac.id/index.php/jurnalkependidikan/index</w:t>
          </w:r>
        </w:p>
      </w:tc>
      <w:tc>
        <w:tcPr>
          <w:tcW w:w="2268" w:type="dxa"/>
        </w:tcPr>
        <w:p w:rsidR="00C23F10" w:rsidRPr="00C3780F" w:rsidRDefault="004F347C" w:rsidP="00C3780F">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i/>
              <w:color w:val="000000"/>
              <w:sz w:val="20"/>
              <w:szCs w:val="20"/>
            </w:rPr>
          </w:pPr>
          <w:r w:rsidRPr="00C3780F">
            <w:rPr>
              <w:rFonts w:ascii="Times New Roman" w:hAnsi="Times New Roman" w:cs="Times New Roman"/>
              <w:i/>
              <w:color w:val="000000"/>
              <w:sz w:val="20"/>
              <w:szCs w:val="20"/>
            </w:rPr>
            <w:t xml:space="preserve">Bulan Tahun. Vol. , No, </w:t>
          </w:r>
        </w:p>
        <w:p w:rsidR="00C23F10" w:rsidRPr="00C3780F" w:rsidRDefault="004F347C" w:rsidP="00C3780F">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i/>
              <w:color w:val="000000"/>
              <w:sz w:val="20"/>
              <w:szCs w:val="20"/>
            </w:rPr>
          </w:pPr>
          <w:r w:rsidRPr="00C3780F">
            <w:rPr>
              <w:rFonts w:ascii="Times New Roman" w:hAnsi="Times New Roman" w:cs="Times New Roman"/>
              <w:i/>
              <w:color w:val="000000"/>
              <w:sz w:val="20"/>
              <w:szCs w:val="20"/>
            </w:rPr>
            <w:t>e-ISSN: 2</w:t>
          </w:r>
          <w:r w:rsidRPr="00C3780F">
            <w:rPr>
              <w:rFonts w:ascii="Times New Roman" w:hAnsi="Times New Roman" w:cs="Times New Roman"/>
              <w:i/>
              <w:sz w:val="20"/>
              <w:szCs w:val="20"/>
            </w:rPr>
            <w:t>442</w:t>
          </w:r>
          <w:r w:rsidRPr="00C3780F">
            <w:rPr>
              <w:rFonts w:ascii="Times New Roman" w:hAnsi="Times New Roman" w:cs="Times New Roman"/>
              <w:i/>
              <w:color w:val="000000"/>
              <w:sz w:val="20"/>
              <w:szCs w:val="20"/>
            </w:rPr>
            <w:t>-7</w:t>
          </w:r>
          <w:r w:rsidRPr="00C3780F">
            <w:rPr>
              <w:rFonts w:ascii="Times New Roman" w:hAnsi="Times New Roman" w:cs="Times New Roman"/>
              <w:i/>
              <w:sz w:val="20"/>
              <w:szCs w:val="20"/>
            </w:rPr>
            <w:t>667</w:t>
          </w:r>
        </w:p>
        <w:p w:rsidR="00C23F10" w:rsidRPr="00C3780F" w:rsidRDefault="004F347C" w:rsidP="00C3780F">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i/>
              <w:color w:val="000000"/>
              <w:sz w:val="20"/>
              <w:szCs w:val="20"/>
            </w:rPr>
          </w:pPr>
          <w:r w:rsidRPr="00C3780F">
            <w:rPr>
              <w:rFonts w:ascii="Times New Roman" w:hAnsi="Times New Roman" w:cs="Times New Roman"/>
              <w:i/>
              <w:color w:val="000000"/>
              <w:sz w:val="20"/>
              <w:szCs w:val="20"/>
            </w:rPr>
            <w:t xml:space="preserve">pp.  </w:t>
          </w:r>
        </w:p>
      </w:tc>
    </w:tr>
  </w:tbl>
  <w:p w:rsidR="009A4BBB" w:rsidRDefault="004F347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4A5E3130"/>
    <w:multiLevelType w:val="hybridMultilevel"/>
    <w:tmpl w:val="ADB0D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19361C"/>
    <w:rsid w:val="00356B27"/>
    <w:rsid w:val="0039487D"/>
    <w:rsid w:val="004161D4"/>
    <w:rsid w:val="00474544"/>
    <w:rsid w:val="00496319"/>
    <w:rsid w:val="004F347C"/>
    <w:rsid w:val="00584E62"/>
    <w:rsid w:val="00E51F5E"/>
    <w:rsid w:val="00E61A2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215BA9D-C52A-4BEA-AC1C-01AE3FC3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161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dx.doi.org/10.1023/B:EDPR.0000034022.16470.f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jpce.org/index.php/IJPCE/article/view/6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opscience.iop.org/article/10.1088/1742-6596/1155/1/01206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7509/Ijposs.V2i2.10170" TargetMode="External"/><Relationship Id="rId20" Type="http://schemas.openxmlformats.org/officeDocument/2006/relationships/hyperlink" Target="https://doi.org/10.1002/j.2168-9830.2004.tb00809.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hyperlink" Target="https://jbasic.org/index.php/basicedu" TargetMode="External"/><Relationship Id="rId19" Type="http://schemas.openxmlformats.org/officeDocument/2006/relationships/hyperlink" Target="https://doi.org/10.1177/136548021665973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[Book1]Sheet8!PivotTable29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Critical Thinking Skills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s>
    <c:plotArea>
      <c:layout/>
      <c:barChart>
        <c:barDir val="col"/>
        <c:grouping val="clustered"/>
        <c:varyColors val="0"/>
        <c:ser>
          <c:idx val="0"/>
          <c:order val="0"/>
          <c:tx>
            <c:strRef>
              <c:f>Sheet8!$B$1</c:f>
              <c:strCache>
                <c:ptCount val="1"/>
                <c:pt idx="0">
                  <c:v>Total</c:v>
                </c:pt>
              </c:strCache>
            </c:strRef>
          </c:tx>
          <c:spPr>
            <a:solidFill>
              <a:schemeClr val="accent1"/>
            </a:solidFill>
            <a:ln>
              <a:noFill/>
            </a:ln>
            <a:effectLst/>
          </c:spPr>
          <c:invertIfNegative val="0"/>
          <c:cat>
            <c:strRef>
              <c:f>Sheet8!$A$2:$A$6</c:f>
              <c:strCache>
                <c:ptCount val="5"/>
                <c:pt idx="0">
                  <c:v>rendah</c:v>
                </c:pt>
                <c:pt idx="1">
                  <c:v>sangat rendah</c:v>
                </c:pt>
                <c:pt idx="2">
                  <c:v>sangat tinggi</c:v>
                </c:pt>
                <c:pt idx="3">
                  <c:v>sedang</c:v>
                </c:pt>
                <c:pt idx="4">
                  <c:v>tinggi</c:v>
                </c:pt>
              </c:strCache>
            </c:strRef>
          </c:cat>
          <c:val>
            <c:numRef>
              <c:f>Sheet8!$B$2:$B$6</c:f>
              <c:numCache>
                <c:formatCode>General</c:formatCode>
                <c:ptCount val="5"/>
                <c:pt idx="0">
                  <c:v>5</c:v>
                </c:pt>
                <c:pt idx="1">
                  <c:v>3</c:v>
                </c:pt>
                <c:pt idx="2">
                  <c:v>2</c:v>
                </c:pt>
                <c:pt idx="3">
                  <c:v>17</c:v>
                </c:pt>
                <c:pt idx="4">
                  <c:v>3</c:v>
                </c:pt>
              </c:numCache>
            </c:numRef>
          </c:val>
        </c:ser>
        <c:dLbls>
          <c:showLegendKey val="0"/>
          <c:showVal val="0"/>
          <c:showCatName val="0"/>
          <c:showSerName val="0"/>
          <c:showPercent val="0"/>
          <c:showBubbleSize val="0"/>
        </c:dLbls>
        <c:gapWidth val="219"/>
        <c:overlap val="-27"/>
        <c:axId val="-583212336"/>
        <c:axId val="-583207984"/>
      </c:barChart>
      <c:catAx>
        <c:axId val="-58321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07984"/>
        <c:crosses val="autoZero"/>
        <c:auto val="1"/>
        <c:lblAlgn val="ctr"/>
        <c:lblOffset val="100"/>
        <c:noMultiLvlLbl val="0"/>
      </c:catAx>
      <c:valAx>
        <c:axId val="-583207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1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[Book1]Sheet14!PivotTable61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Critical Thinking Skills</a:t>
            </a:r>
            <a:endParaRPr lang="en-US"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Sheet14!$B$1</c:f>
              <c:strCache>
                <c:ptCount val="1"/>
                <c:pt idx="0">
                  <c:v>Total</c:v>
                </c:pt>
              </c:strCache>
            </c:strRef>
          </c:tx>
          <c:spPr>
            <a:solidFill>
              <a:schemeClr val="accent1"/>
            </a:solidFill>
            <a:ln>
              <a:noFill/>
            </a:ln>
            <a:effectLst/>
          </c:spPr>
          <c:invertIfNegative val="0"/>
          <c:cat>
            <c:strRef>
              <c:f>Sheet14!$A$2:$A$5</c:f>
              <c:strCache>
                <c:ptCount val="4"/>
                <c:pt idx="0">
                  <c:v>rendah</c:v>
                </c:pt>
                <c:pt idx="1">
                  <c:v>sangat tinggi</c:v>
                </c:pt>
                <c:pt idx="2">
                  <c:v>sedang</c:v>
                </c:pt>
                <c:pt idx="3">
                  <c:v>tinggi</c:v>
                </c:pt>
              </c:strCache>
            </c:strRef>
          </c:cat>
          <c:val>
            <c:numRef>
              <c:f>Sheet14!$B$2:$B$5</c:f>
              <c:numCache>
                <c:formatCode>General</c:formatCode>
                <c:ptCount val="4"/>
                <c:pt idx="0">
                  <c:v>2</c:v>
                </c:pt>
                <c:pt idx="1">
                  <c:v>1</c:v>
                </c:pt>
                <c:pt idx="2">
                  <c:v>10</c:v>
                </c:pt>
                <c:pt idx="3">
                  <c:v>17</c:v>
                </c:pt>
              </c:numCache>
            </c:numRef>
          </c:val>
        </c:ser>
        <c:dLbls>
          <c:showLegendKey val="0"/>
          <c:showVal val="0"/>
          <c:showCatName val="0"/>
          <c:showSerName val="0"/>
          <c:showPercent val="0"/>
          <c:showBubbleSize val="0"/>
        </c:dLbls>
        <c:gapWidth val="219"/>
        <c:overlap val="-27"/>
        <c:axId val="-583216144"/>
        <c:axId val="-583215600"/>
      </c:barChart>
      <c:catAx>
        <c:axId val="-58321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15600"/>
        <c:crosses val="autoZero"/>
        <c:auto val="1"/>
        <c:lblAlgn val="ctr"/>
        <c:lblOffset val="100"/>
        <c:noMultiLvlLbl val="0"/>
      </c:catAx>
      <c:valAx>
        <c:axId val="-58321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21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Microsoft account</cp:lastModifiedBy>
  <cp:revision>4</cp:revision>
  <dcterms:created xsi:type="dcterms:W3CDTF">2020-12-15T04:18:00Z</dcterms:created>
  <dcterms:modified xsi:type="dcterms:W3CDTF">2022-04-12T23:34:00Z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